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BF" w:rsidRDefault="00C02CBF" w:rsidP="00697BFB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663296">
        <w:rPr>
          <w:rFonts w:ascii="Times New Roman" w:hAnsi="Times New Roman"/>
          <w:b/>
          <w:sz w:val="20"/>
          <w:szCs w:val="20"/>
        </w:rPr>
        <w:t>Instructions:</w:t>
      </w:r>
      <w:r w:rsidRPr="00663296">
        <w:rPr>
          <w:rFonts w:ascii="Times New Roman" w:hAnsi="Times New Roman"/>
          <w:sz w:val="20"/>
          <w:szCs w:val="20"/>
        </w:rPr>
        <w:t xml:space="preserve"> </w:t>
      </w:r>
    </w:p>
    <w:p w:rsidR="00C02CBF" w:rsidRDefault="00C02CBF" w:rsidP="00697BFB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This checklist should be used for every scheduled pelvic exam; it should not be used for clinically indicated pelvic exams. The “Required at visits” column indicates when the item is required during follow-up per-protocol. When an item is performed, complete “S</w:t>
      </w:r>
      <w:r w:rsidRPr="00337617">
        <w:rPr>
          <w:rFonts w:ascii="Times New Roman" w:hAnsi="Times New Roman"/>
          <w:sz w:val="20"/>
          <w:szCs w:val="20"/>
        </w:rPr>
        <w:t>taff</w:t>
      </w:r>
      <w:r>
        <w:rPr>
          <w:rFonts w:ascii="Times New Roman" w:hAnsi="Times New Roman"/>
          <w:sz w:val="20"/>
          <w:szCs w:val="20"/>
        </w:rPr>
        <w:t xml:space="preserve"> I</w:t>
      </w:r>
      <w:r w:rsidRPr="00337617">
        <w:rPr>
          <w:rFonts w:ascii="Times New Roman" w:hAnsi="Times New Roman"/>
          <w:sz w:val="20"/>
          <w:szCs w:val="20"/>
        </w:rPr>
        <w:t>nitials</w:t>
      </w:r>
      <w:r>
        <w:rPr>
          <w:rFonts w:ascii="Times New Roman" w:hAnsi="Times New Roman"/>
          <w:sz w:val="20"/>
          <w:szCs w:val="20"/>
        </w:rPr>
        <w:t>” cell</w:t>
      </w:r>
      <w:r w:rsidRPr="0033761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If not done but required, write “ND” and staff initials in “Staff Initials” cell, and provide more details in the chart notes as needed. </w:t>
      </w:r>
      <w:r w:rsidRPr="0002435A">
        <w:rPr>
          <w:rFonts w:ascii="Times New Roman" w:hAnsi="Times New Roman"/>
          <w:sz w:val="20"/>
          <w:szCs w:val="20"/>
        </w:rPr>
        <w:t>Do not initial for other staff members.  If other staff membe</w:t>
      </w:r>
      <w:r>
        <w:rPr>
          <w:rFonts w:ascii="Times New Roman" w:hAnsi="Times New Roman"/>
          <w:sz w:val="20"/>
          <w:szCs w:val="20"/>
        </w:rPr>
        <w:t>rs are not available to initial</w:t>
      </w:r>
      <w:r w:rsidRPr="0002435A">
        <w:rPr>
          <w:rFonts w:ascii="Times New Roman" w:hAnsi="Times New Roman"/>
          <w:sz w:val="20"/>
          <w:szCs w:val="20"/>
        </w:rPr>
        <w:t xml:space="preserve"> items themselves, </w:t>
      </w:r>
      <w:r>
        <w:rPr>
          <w:rFonts w:ascii="Times New Roman" w:hAnsi="Times New Roman"/>
          <w:sz w:val="20"/>
          <w:szCs w:val="20"/>
        </w:rPr>
        <w:t>write and</w:t>
      </w:r>
      <w:r w:rsidRPr="0002435A">
        <w:rPr>
          <w:rFonts w:ascii="Times New Roman" w:hAnsi="Times New Roman"/>
          <w:sz w:val="20"/>
          <w:szCs w:val="20"/>
        </w:rPr>
        <w:t xml:space="preserve"> initial</w:t>
      </w:r>
      <w:r>
        <w:rPr>
          <w:rFonts w:ascii="Times New Roman" w:hAnsi="Times New Roman"/>
          <w:sz w:val="20"/>
          <w:szCs w:val="20"/>
        </w:rPr>
        <w:t>/</w:t>
      </w:r>
      <w:r w:rsidRPr="0002435A">
        <w:rPr>
          <w:rFonts w:ascii="Times New Roman" w:hAnsi="Times New Roman"/>
          <w:sz w:val="20"/>
          <w:szCs w:val="20"/>
        </w:rPr>
        <w:t>date a note documenting who completed the procedure, e.g., “done by {name}” or “done by nurse.”</w:t>
      </w:r>
      <w:r>
        <w:rPr>
          <w:rFonts w:ascii="Times New Roman" w:hAnsi="Times New Roman"/>
          <w:sz w:val="20"/>
          <w:szCs w:val="20"/>
        </w:rPr>
        <w:t xml:space="preserve"> </w:t>
      </w:r>
      <w:r w:rsidRPr="00663296">
        <w:rPr>
          <w:rFonts w:ascii="Times New Roman" w:hAnsi="Times New Roman"/>
          <w:b/>
          <w:sz w:val="20"/>
          <w:szCs w:val="20"/>
          <w:u w:val="single"/>
        </w:rPr>
        <w:t>Samples must be collected in the order listed on the checklist.</w:t>
      </w:r>
      <w:r w:rsidRPr="00663296">
        <w:rPr>
          <w:rFonts w:ascii="Times New Roman" w:hAnsi="Times New Roman"/>
          <w:sz w:val="20"/>
          <w:szCs w:val="20"/>
        </w:rPr>
        <w:t xml:space="preserve">  </w:t>
      </w:r>
    </w:p>
    <w:p w:rsidR="00C02CBF" w:rsidRPr="00663296" w:rsidRDefault="00C02CBF" w:rsidP="00663296">
      <w:pPr>
        <w:pStyle w:val="Footer"/>
        <w:jc w:val="both"/>
        <w:rPr>
          <w:rFonts w:ascii="Times New Roman" w:hAnsi="Times New Roman"/>
          <w:sz w:val="20"/>
          <w:szCs w:val="20"/>
        </w:rPr>
      </w:pPr>
    </w:p>
    <w:tbl>
      <w:tblPr>
        <w:tblW w:w="1005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6018"/>
        <w:gridCol w:w="2520"/>
        <w:gridCol w:w="963"/>
      </w:tblGrid>
      <w:tr w:rsidR="00C02CBF" w:rsidRPr="00455008" w:rsidTr="002E6E9C">
        <w:trPr>
          <w:trHeight w:val="308"/>
          <w:tblHeader/>
        </w:trPr>
        <w:tc>
          <w:tcPr>
            <w:tcW w:w="6570" w:type="dxa"/>
            <w:gridSpan w:val="2"/>
            <w:tcBorders>
              <w:top w:val="single" w:sz="4" w:space="0" w:color="auto"/>
            </w:tcBorders>
            <w:noWrap/>
          </w:tcPr>
          <w:p w:rsidR="00C02CBF" w:rsidRPr="00455008" w:rsidRDefault="00C02CBF" w:rsidP="00663296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455008">
              <w:rPr>
                <w:rFonts w:cs="Calibri"/>
                <w:b/>
                <w:color w:val="000000"/>
              </w:rPr>
              <w:t>Procedures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455008">
              <w:rPr>
                <w:rFonts w:cs="Calibri"/>
                <w:b/>
                <w:color w:val="000000"/>
              </w:rPr>
              <w:t>Required at visits: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C02CBF" w:rsidRPr="00455008" w:rsidRDefault="00C02CBF" w:rsidP="00AB37AA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455008">
              <w:rPr>
                <w:rFonts w:cs="Calibri"/>
                <w:b/>
                <w:color w:val="000000"/>
              </w:rPr>
              <w:t>Staff Initials</w:t>
            </w:r>
          </w:p>
        </w:tc>
      </w:tr>
      <w:tr w:rsidR="00C02CBF" w:rsidRPr="00455008" w:rsidTr="002E6E9C">
        <w:trPr>
          <w:trHeight w:val="604"/>
        </w:trPr>
        <w:tc>
          <w:tcPr>
            <w:tcW w:w="552" w:type="dxa"/>
            <w:noWrap/>
          </w:tcPr>
          <w:p w:rsidR="00C02CBF" w:rsidRPr="00455008" w:rsidRDefault="00C02CBF" w:rsidP="00663296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</w:p>
        </w:tc>
        <w:tc>
          <w:tcPr>
            <w:tcW w:w="6018" w:type="dxa"/>
          </w:tcPr>
          <w:p w:rsidR="00C02CBF" w:rsidRPr="00455008" w:rsidRDefault="00C02CBF" w:rsidP="009E3C43">
            <w:pPr>
              <w:keepLines/>
              <w:spacing w:after="0" w:line="240" w:lineRule="auto"/>
              <w:rPr>
                <w:rFonts w:cs="Calibri"/>
              </w:rPr>
            </w:pPr>
            <w:r w:rsidRPr="00455008">
              <w:rPr>
                <w:rFonts w:cs="Calibri"/>
              </w:rPr>
              <w:t>Prepare exam equipment, documentation, and specimen collection supplies; label as needed.</w:t>
            </w:r>
          </w:p>
        </w:tc>
        <w:tc>
          <w:tcPr>
            <w:tcW w:w="2520" w:type="dxa"/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631"/>
        </w:trPr>
        <w:tc>
          <w:tcPr>
            <w:tcW w:w="552" w:type="dxa"/>
            <w:noWrap/>
          </w:tcPr>
          <w:p w:rsidR="00C02CBF" w:rsidRPr="00455008" w:rsidRDefault="00C02CBF" w:rsidP="00663296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2</w:t>
            </w:r>
          </w:p>
        </w:tc>
        <w:tc>
          <w:tcPr>
            <w:tcW w:w="6018" w:type="dxa"/>
          </w:tcPr>
          <w:p w:rsidR="00C02CBF" w:rsidRPr="00663296" w:rsidRDefault="00C02CBF" w:rsidP="009E3C43">
            <w:pPr>
              <w:pStyle w:val="BodyTextInden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63296">
              <w:rPr>
                <w:rFonts w:ascii="Calibri" w:hAnsi="Calibri" w:cs="Calibri"/>
                <w:sz w:val="22"/>
                <w:szCs w:val="22"/>
              </w:rPr>
              <w:t>Explain exam procedures to participant and answer any questions.  Position and drape participant comfortably.</w:t>
            </w:r>
          </w:p>
        </w:tc>
        <w:tc>
          <w:tcPr>
            <w:tcW w:w="2520" w:type="dxa"/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37"/>
        </w:trPr>
        <w:tc>
          <w:tcPr>
            <w:tcW w:w="552" w:type="dxa"/>
            <w:noWrap/>
          </w:tcPr>
          <w:p w:rsidR="00C02CBF" w:rsidRPr="00455008" w:rsidRDefault="00C02CBF" w:rsidP="0066329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6018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 xml:space="preserve">Palpate the </w:t>
            </w:r>
            <w:r w:rsidRPr="00455008">
              <w:rPr>
                <w:rFonts w:cs="Calibri"/>
                <w:b/>
                <w:color w:val="000000"/>
              </w:rPr>
              <w:t>inguinal lymph nodes</w:t>
            </w:r>
            <w:r w:rsidRPr="00455008">
              <w:rPr>
                <w:rFonts w:cs="Calibri"/>
                <w:color w:val="000000"/>
              </w:rPr>
              <w:t xml:space="preserve"> to assess for enlargement and/or tenderness</w:t>
            </w:r>
          </w:p>
        </w:tc>
        <w:tc>
          <w:tcPr>
            <w:tcW w:w="2520" w:type="dxa"/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37"/>
        </w:trPr>
        <w:tc>
          <w:tcPr>
            <w:tcW w:w="552" w:type="dxa"/>
            <w:noWrap/>
          </w:tcPr>
          <w:p w:rsidR="00C02CBF" w:rsidRPr="00455008" w:rsidRDefault="00C02CBF" w:rsidP="0066329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6018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 xml:space="preserve">Perform naked eye examination of the </w:t>
            </w:r>
            <w:r w:rsidRPr="00455008">
              <w:rPr>
                <w:rFonts w:cs="Calibri"/>
                <w:b/>
                <w:color w:val="000000"/>
              </w:rPr>
              <w:t>external genitalia</w:t>
            </w:r>
            <w:r w:rsidRPr="00455008">
              <w:rPr>
                <w:rFonts w:cs="Calibri"/>
                <w:color w:val="000000"/>
              </w:rPr>
              <w:t xml:space="preserve"> including the perineum, perianal area, and the epithelial lining of the </w:t>
            </w:r>
            <w:proofErr w:type="spellStart"/>
            <w:r w:rsidRPr="00455008">
              <w:rPr>
                <w:rFonts w:cs="Calibri"/>
                <w:color w:val="000000"/>
              </w:rPr>
              <w:t>introitus</w:t>
            </w:r>
            <w:proofErr w:type="spellEnd"/>
          </w:p>
        </w:tc>
        <w:tc>
          <w:tcPr>
            <w:tcW w:w="2520" w:type="dxa"/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37"/>
        </w:trPr>
        <w:tc>
          <w:tcPr>
            <w:tcW w:w="552" w:type="dxa"/>
            <w:noWrap/>
          </w:tcPr>
          <w:p w:rsidR="00C02CBF" w:rsidRPr="00455008" w:rsidRDefault="00C02CBF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6018" w:type="dxa"/>
          </w:tcPr>
          <w:p w:rsidR="00C02CBF" w:rsidRPr="00455008" w:rsidRDefault="00C02CBF" w:rsidP="009E3C43">
            <w:pPr>
              <w:keepLines/>
              <w:spacing w:after="0" w:line="240" w:lineRule="auto"/>
            </w:pPr>
            <w:r w:rsidRPr="00455008">
              <w:t xml:space="preserve">Insert speculum, using warm water as lubricant if needed.  Perform naked eye exam of the </w:t>
            </w:r>
            <w:r w:rsidRPr="00455008">
              <w:rPr>
                <w:b/>
              </w:rPr>
              <w:t>cervix and vagina</w:t>
            </w:r>
            <w:r w:rsidRPr="00455008">
              <w:t xml:space="preserve">.  </w:t>
            </w:r>
          </w:p>
        </w:tc>
        <w:tc>
          <w:tcPr>
            <w:tcW w:w="2520" w:type="dxa"/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00"/>
        </w:trPr>
        <w:tc>
          <w:tcPr>
            <w:tcW w:w="552" w:type="dxa"/>
            <w:noWrap/>
          </w:tcPr>
          <w:p w:rsidR="00C02CBF" w:rsidRPr="00455008" w:rsidRDefault="00C02CBF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6018" w:type="dxa"/>
          </w:tcPr>
          <w:p w:rsidR="00C02CBF" w:rsidRPr="00455008" w:rsidRDefault="00C02CBF" w:rsidP="009E3C43">
            <w:pPr>
              <w:keepLines/>
              <w:spacing w:after="0" w:line="240" w:lineRule="auto"/>
            </w:pPr>
            <w:r w:rsidRPr="00455008">
              <w:t xml:space="preserve">Assess for </w:t>
            </w:r>
            <w:r w:rsidRPr="00455008">
              <w:rPr>
                <w:b/>
              </w:rPr>
              <w:t xml:space="preserve">cervical </w:t>
            </w:r>
            <w:proofErr w:type="spellStart"/>
            <w:r w:rsidRPr="00455008">
              <w:rPr>
                <w:b/>
              </w:rPr>
              <w:t>ectopy</w:t>
            </w:r>
            <w:proofErr w:type="spellEnd"/>
            <w:r w:rsidRPr="00455008">
              <w:rPr>
                <w:b/>
              </w:rPr>
              <w:t xml:space="preserve">. </w:t>
            </w:r>
            <w:r w:rsidRPr="000F680D">
              <w:t>Document on appropriate pelvic exam CRF.</w:t>
            </w:r>
            <w:r w:rsidRPr="00455008">
              <w:t xml:space="preserve"> </w:t>
            </w:r>
          </w:p>
        </w:tc>
        <w:tc>
          <w:tcPr>
            <w:tcW w:w="2520" w:type="dxa"/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37"/>
        </w:trPr>
        <w:tc>
          <w:tcPr>
            <w:tcW w:w="552" w:type="dxa"/>
            <w:noWrap/>
          </w:tcPr>
          <w:p w:rsidR="00C02CBF" w:rsidRPr="00455008" w:rsidRDefault="00C02CBF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6018" w:type="dxa"/>
          </w:tcPr>
          <w:p w:rsidR="00C02CBF" w:rsidRPr="00455008" w:rsidRDefault="00C02CBF" w:rsidP="000D6386">
            <w:pPr>
              <w:keepLines/>
              <w:spacing w:after="0" w:line="240" w:lineRule="auto"/>
            </w:pPr>
            <w:r w:rsidRPr="00455008">
              <w:t xml:space="preserve">Collect 1 swab for </w:t>
            </w:r>
            <w:r w:rsidRPr="00455008">
              <w:rPr>
                <w:b/>
              </w:rPr>
              <w:t xml:space="preserve">rapid </w:t>
            </w:r>
            <w:proofErr w:type="spellStart"/>
            <w:r w:rsidRPr="00455008">
              <w:rPr>
                <w:b/>
              </w:rPr>
              <w:t>Trichomonas</w:t>
            </w:r>
            <w:proofErr w:type="spellEnd"/>
            <w:r w:rsidRPr="00455008">
              <w:t xml:space="preserve"> from the lateral vaginal wall with the rapid test kit.</w:t>
            </w:r>
          </w:p>
        </w:tc>
        <w:tc>
          <w:tcPr>
            <w:tcW w:w="2520" w:type="dxa"/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Screen</w:t>
            </w:r>
            <w:r>
              <w:rPr>
                <w:rFonts w:cs="Calibri"/>
                <w:color w:val="000000"/>
              </w:rPr>
              <w:t>ing, and if indicated</w:t>
            </w:r>
          </w:p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37"/>
        </w:trPr>
        <w:tc>
          <w:tcPr>
            <w:tcW w:w="552" w:type="dxa"/>
            <w:noWrap/>
          </w:tcPr>
          <w:p w:rsidR="00C02CBF" w:rsidRPr="00455008" w:rsidRDefault="00C02CBF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6018" w:type="dxa"/>
          </w:tcPr>
          <w:p w:rsidR="00C02CBF" w:rsidRPr="00455008" w:rsidRDefault="00C02CBF" w:rsidP="00996896">
            <w:pPr>
              <w:keepLines/>
              <w:spacing w:after="0" w:line="240" w:lineRule="auto"/>
            </w:pPr>
            <w:r w:rsidRPr="00455008">
              <w:t xml:space="preserve">If indicated (symptomatic), collect swab for </w:t>
            </w:r>
            <w:r w:rsidRPr="00455008">
              <w:rPr>
                <w:b/>
              </w:rPr>
              <w:t>vaginal saline and/or KOH wet mounts</w:t>
            </w:r>
            <w:r w:rsidRPr="00455008">
              <w:t xml:space="preserve"> for evaluation of vaginitis (yeast, </w:t>
            </w:r>
            <w:proofErr w:type="spellStart"/>
            <w:r w:rsidRPr="00455008">
              <w:t>trichomonas</w:t>
            </w:r>
            <w:proofErr w:type="spellEnd"/>
            <w:r w:rsidRPr="00455008">
              <w:t xml:space="preserve"> or BV) from the lateral vaginal wall.</w:t>
            </w:r>
          </w:p>
        </w:tc>
        <w:tc>
          <w:tcPr>
            <w:tcW w:w="2520" w:type="dxa"/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Only if indicated</w:t>
            </w: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37"/>
        </w:trPr>
        <w:tc>
          <w:tcPr>
            <w:tcW w:w="552" w:type="dxa"/>
            <w:noWrap/>
          </w:tcPr>
          <w:p w:rsidR="00C02CBF" w:rsidRPr="00455008" w:rsidRDefault="00C02CBF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6018" w:type="dxa"/>
          </w:tcPr>
          <w:p w:rsidR="00C02CBF" w:rsidRPr="00455008" w:rsidRDefault="00C02CBF" w:rsidP="00717BBE">
            <w:pPr>
              <w:keepLines/>
              <w:spacing w:after="0" w:line="240" w:lineRule="auto"/>
            </w:pPr>
            <w:r w:rsidRPr="00455008">
              <w:t xml:space="preserve">Collect 1 swab from lateral vaginal wall for </w:t>
            </w:r>
            <w:r w:rsidRPr="00455008">
              <w:rPr>
                <w:b/>
              </w:rPr>
              <w:t>pH assessment</w:t>
            </w:r>
            <w:r w:rsidRPr="00455008">
              <w:t xml:space="preserve">.  Swab fluid onto pH strip. </w:t>
            </w:r>
            <w:r w:rsidR="001759B3">
              <w:t xml:space="preserve"> Note: For pre-coital pH assessment</w:t>
            </w:r>
            <w:r w:rsidR="008A2417">
              <w:t>s</w:t>
            </w:r>
            <w:r w:rsidR="001759B3">
              <w:t xml:space="preserve">, a speculum is not required and a non-specific </w:t>
            </w:r>
            <w:r w:rsidR="008A2417">
              <w:t xml:space="preserve">location </w:t>
            </w:r>
            <w:r w:rsidR="001759B3">
              <w:t>vaginal swab is adequate.</w:t>
            </w:r>
          </w:p>
          <w:p w:rsidR="00C02CBF" w:rsidRPr="00455008" w:rsidRDefault="00C02CBF" w:rsidP="00717BBE">
            <w:pPr>
              <w:keepLines/>
              <w:spacing w:after="0" w:line="240" w:lineRule="auto"/>
            </w:pPr>
            <w:r w:rsidRPr="00455008">
              <w:t xml:space="preserve">                                  </w:t>
            </w:r>
            <w:r>
              <w:t xml:space="preserve">                </w:t>
            </w:r>
          </w:p>
        </w:tc>
        <w:tc>
          <w:tcPr>
            <w:tcW w:w="2520" w:type="dxa"/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677"/>
        </w:trPr>
        <w:tc>
          <w:tcPr>
            <w:tcW w:w="552" w:type="dxa"/>
            <w:noWrap/>
          </w:tcPr>
          <w:p w:rsidR="00C02CBF" w:rsidRPr="00455008" w:rsidRDefault="00C02CBF" w:rsidP="00797FE5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6018" w:type="dxa"/>
          </w:tcPr>
          <w:p w:rsidR="00C02CBF" w:rsidRPr="00455008" w:rsidRDefault="00C02CBF" w:rsidP="00797FE5">
            <w:pPr>
              <w:keepLines/>
              <w:spacing w:after="0" w:line="240" w:lineRule="auto"/>
            </w:pPr>
            <w:r>
              <w:t xml:space="preserve">Collect </w:t>
            </w:r>
            <w:r w:rsidRPr="005571C8">
              <w:rPr>
                <w:b/>
              </w:rPr>
              <w:t>CVL</w:t>
            </w:r>
          </w:p>
        </w:tc>
        <w:tc>
          <w:tcPr>
            <w:tcW w:w="2520" w:type="dxa"/>
          </w:tcPr>
          <w:p w:rsidR="00C02CBF" w:rsidRDefault="00C02CBF" w:rsidP="00797F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G1: Screening, 2b, 3b, 4b, 5b, 6b, 7b</w:t>
            </w:r>
          </w:p>
          <w:p w:rsidR="00C02CBF" w:rsidRDefault="00C02CBF" w:rsidP="00797F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C02CBF" w:rsidRDefault="00C02CBF" w:rsidP="00797F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G2: Screening 3b, 5, 7b, 9</w:t>
            </w:r>
          </w:p>
          <w:p w:rsidR="00C02CBF" w:rsidRPr="00455008" w:rsidRDefault="00C02CBF" w:rsidP="00797FE5">
            <w:pPr>
              <w:spacing w:after="0" w:line="240" w:lineRule="auto"/>
              <w:jc w:val="center"/>
              <w:rPr>
                <w:rFonts w:cs="Calibri"/>
                <w:color w:val="000000"/>
                <w:highlight w:val="lightGray"/>
              </w:rPr>
            </w:pPr>
          </w:p>
        </w:tc>
        <w:tc>
          <w:tcPr>
            <w:tcW w:w="963" w:type="dxa"/>
          </w:tcPr>
          <w:p w:rsidR="00C02CBF" w:rsidRPr="00455008" w:rsidRDefault="00C02CBF" w:rsidP="00797FE5">
            <w:pPr>
              <w:spacing w:after="0" w:line="240" w:lineRule="auto"/>
              <w:rPr>
                <w:rFonts w:cs="Calibri"/>
                <w:color w:val="000000"/>
                <w:highlight w:val="lightGray"/>
              </w:rPr>
            </w:pPr>
          </w:p>
        </w:tc>
      </w:tr>
      <w:tr w:rsidR="00C02CBF" w:rsidRPr="00455008" w:rsidTr="002E6E9C">
        <w:trPr>
          <w:trHeight w:val="677"/>
        </w:trPr>
        <w:tc>
          <w:tcPr>
            <w:tcW w:w="552" w:type="dxa"/>
            <w:noWrap/>
          </w:tcPr>
          <w:p w:rsidR="00C02CBF" w:rsidRPr="00455008" w:rsidRDefault="00C02CBF" w:rsidP="00F93B4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6018" w:type="dxa"/>
          </w:tcPr>
          <w:p w:rsidR="00C02CBF" w:rsidRPr="00455008" w:rsidRDefault="00C02CBF" w:rsidP="00F93B40">
            <w:pPr>
              <w:keepLines/>
              <w:spacing w:after="0" w:line="240" w:lineRule="auto"/>
            </w:pPr>
            <w:r w:rsidRPr="00C25406">
              <w:rPr>
                <w:rFonts w:ascii="Times New Roman" w:hAnsi="Times New Roman"/>
              </w:rPr>
              <w:t xml:space="preserve">Place </w:t>
            </w:r>
            <w:proofErr w:type="spellStart"/>
            <w:r w:rsidRPr="005571C8">
              <w:rPr>
                <w:rFonts w:ascii="Times New Roman" w:hAnsi="Times New Roman"/>
                <w:b/>
              </w:rPr>
              <w:t>cytobrush</w:t>
            </w:r>
            <w:proofErr w:type="spellEnd"/>
            <w:r w:rsidRPr="00C25406">
              <w:rPr>
                <w:rFonts w:ascii="Times New Roman" w:hAnsi="Times New Roman"/>
              </w:rPr>
              <w:t xml:space="preserve"> in the cervical </w:t>
            </w:r>
            <w:proofErr w:type="spellStart"/>
            <w:r w:rsidRPr="00C25406">
              <w:rPr>
                <w:rFonts w:ascii="Times New Roman" w:hAnsi="Times New Roman"/>
              </w:rPr>
              <w:t>os</w:t>
            </w:r>
            <w:proofErr w:type="spellEnd"/>
            <w:r w:rsidRPr="00C25406">
              <w:rPr>
                <w:rFonts w:ascii="Times New Roman" w:hAnsi="Times New Roman"/>
              </w:rPr>
              <w:t xml:space="preserve"> and collect sample</w:t>
            </w:r>
          </w:p>
        </w:tc>
        <w:tc>
          <w:tcPr>
            <w:tcW w:w="2520" w:type="dxa"/>
          </w:tcPr>
          <w:p w:rsidR="00C02CBF" w:rsidRDefault="00C02CBF" w:rsidP="00F93B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G1: </w:t>
            </w:r>
            <w:r w:rsidR="00EF3F93">
              <w:rPr>
                <w:rFonts w:cs="Calibri"/>
                <w:color w:val="000000"/>
              </w:rPr>
              <w:t xml:space="preserve">Screening (Pitt site), </w:t>
            </w:r>
            <w:r>
              <w:rPr>
                <w:rFonts w:cs="Calibri"/>
                <w:color w:val="000000"/>
              </w:rPr>
              <w:t>3b, 4b, 5b, 6b, 7b</w:t>
            </w:r>
          </w:p>
          <w:p w:rsidR="00C02CBF" w:rsidRDefault="00C02CBF" w:rsidP="00F93B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C02CBF" w:rsidRDefault="00C02CBF" w:rsidP="00F93B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G2: </w:t>
            </w:r>
            <w:r w:rsidR="00EF3F93">
              <w:rPr>
                <w:rFonts w:cs="Calibri"/>
                <w:color w:val="000000"/>
              </w:rPr>
              <w:t xml:space="preserve">Screening (Pitt site), </w:t>
            </w:r>
            <w:r>
              <w:rPr>
                <w:rFonts w:cs="Calibri"/>
                <w:color w:val="000000"/>
              </w:rPr>
              <w:t>3b, 5, 7b, 9</w:t>
            </w:r>
          </w:p>
          <w:p w:rsidR="00C02CBF" w:rsidRPr="00455008" w:rsidRDefault="00C02CBF" w:rsidP="00F93B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63" w:type="dxa"/>
          </w:tcPr>
          <w:p w:rsidR="00C02CBF" w:rsidRPr="00455008" w:rsidRDefault="00C02CBF" w:rsidP="00F93B4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631"/>
        </w:trPr>
        <w:tc>
          <w:tcPr>
            <w:tcW w:w="552" w:type="dxa"/>
            <w:noWrap/>
          </w:tcPr>
          <w:p w:rsidR="00C02CBF" w:rsidRDefault="00C02CBF" w:rsidP="005D499B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6018" w:type="dxa"/>
          </w:tcPr>
          <w:p w:rsidR="00C02CBF" w:rsidRPr="00C25406" w:rsidRDefault="00C02CBF" w:rsidP="002E6E9C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455008">
              <w:t xml:space="preserve">Collect </w:t>
            </w:r>
            <w:proofErr w:type="spellStart"/>
            <w:r w:rsidRPr="00455008">
              <w:t>ecto</w:t>
            </w:r>
            <w:proofErr w:type="spellEnd"/>
            <w:r w:rsidRPr="00455008">
              <w:t xml:space="preserve">- and </w:t>
            </w:r>
            <w:proofErr w:type="spellStart"/>
            <w:r w:rsidRPr="00455008">
              <w:t>endocervical</w:t>
            </w:r>
            <w:proofErr w:type="spellEnd"/>
            <w:r w:rsidRPr="00455008">
              <w:t xml:space="preserve"> cells for </w:t>
            </w:r>
            <w:r w:rsidRPr="00455008">
              <w:rPr>
                <w:b/>
              </w:rPr>
              <w:t>Pap smear</w:t>
            </w:r>
            <w:r w:rsidRPr="00455008">
              <w:t xml:space="preserve"> (if indicated at screening to confirm eligibility</w:t>
            </w:r>
            <w:r>
              <w:t>)</w:t>
            </w:r>
          </w:p>
        </w:tc>
        <w:tc>
          <w:tcPr>
            <w:tcW w:w="2520" w:type="dxa"/>
          </w:tcPr>
          <w:p w:rsidR="00C02CBF" w:rsidRDefault="00C02CBF" w:rsidP="002E6E9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indicated at Screening</w:t>
            </w: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631"/>
        </w:trPr>
        <w:tc>
          <w:tcPr>
            <w:tcW w:w="552" w:type="dxa"/>
            <w:noWrap/>
          </w:tcPr>
          <w:p w:rsidR="00C02CBF" w:rsidRPr="00455008" w:rsidRDefault="00C02CBF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13</w:t>
            </w:r>
          </w:p>
        </w:tc>
        <w:tc>
          <w:tcPr>
            <w:tcW w:w="6018" w:type="dxa"/>
          </w:tcPr>
          <w:p w:rsidR="00C02CBF" w:rsidRPr="00455008" w:rsidRDefault="00C02CBF" w:rsidP="002E6E9C">
            <w:pPr>
              <w:keepLines/>
              <w:spacing w:after="0" w:line="240" w:lineRule="auto"/>
            </w:pPr>
            <w:r w:rsidRPr="00455008">
              <w:t xml:space="preserve">Remove speculum and perform </w:t>
            </w:r>
            <w:r w:rsidRPr="005571C8">
              <w:rPr>
                <w:b/>
              </w:rPr>
              <w:t>bimanual exam</w:t>
            </w:r>
            <w:r w:rsidRPr="00455008">
              <w:t>.</w:t>
            </w:r>
          </w:p>
        </w:tc>
        <w:tc>
          <w:tcPr>
            <w:tcW w:w="2520" w:type="dxa"/>
          </w:tcPr>
          <w:p w:rsidR="00C02CBF" w:rsidRDefault="00C02CBF" w:rsidP="003A6C1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Screening and Enrollment</w:t>
            </w:r>
            <w:r w:rsidR="003A6C1B">
              <w:rPr>
                <w:rFonts w:cs="Calibri"/>
                <w:color w:val="000000"/>
              </w:rPr>
              <w:t xml:space="preserve"> (2a)</w:t>
            </w:r>
            <w:r>
              <w:rPr>
                <w:rFonts w:cs="Calibri"/>
                <w:color w:val="000000"/>
              </w:rPr>
              <w:t xml:space="preserve">; only if indicated </w:t>
            </w:r>
            <w:r w:rsidR="003A6C1B">
              <w:rPr>
                <w:rFonts w:cs="Calibri"/>
                <w:color w:val="000000"/>
              </w:rPr>
              <w:t>at all other visits</w:t>
            </w: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37"/>
        </w:trPr>
        <w:tc>
          <w:tcPr>
            <w:tcW w:w="552" w:type="dxa"/>
            <w:noWrap/>
          </w:tcPr>
          <w:p w:rsidR="00C02CBF" w:rsidRPr="00455008" w:rsidRDefault="00C02CBF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6018" w:type="dxa"/>
          </w:tcPr>
          <w:p w:rsidR="00C02CBF" w:rsidRPr="00455008" w:rsidRDefault="00C02CBF" w:rsidP="008D573C">
            <w:pPr>
              <w:keepLines/>
              <w:spacing w:after="0" w:line="240" w:lineRule="auto"/>
            </w:pPr>
            <w:r>
              <w:rPr>
                <w:rFonts w:ascii="Times New Roman" w:hAnsi="Times New Roman"/>
              </w:rPr>
              <w:t xml:space="preserve">Collect </w:t>
            </w:r>
            <w:r w:rsidRPr="005571C8">
              <w:rPr>
                <w:rFonts w:ascii="Times New Roman" w:hAnsi="Times New Roman"/>
                <w:b/>
              </w:rPr>
              <w:t>cervical biopsy</w:t>
            </w:r>
            <w:r w:rsidRPr="00107B80">
              <w:rPr>
                <w:rFonts w:ascii="Times New Roman" w:hAnsi="Times New Roman"/>
              </w:rPr>
              <w:t>, measur</w:t>
            </w:r>
            <w:r>
              <w:rPr>
                <w:rFonts w:ascii="Times New Roman" w:hAnsi="Times New Roman"/>
              </w:rPr>
              <w:t>ing approximately 3mm by 5</w:t>
            </w:r>
            <w:r w:rsidRPr="00107B80">
              <w:rPr>
                <w:rFonts w:ascii="Times New Roman" w:hAnsi="Times New Roman"/>
              </w:rPr>
              <w:t>mm</w:t>
            </w:r>
          </w:p>
        </w:tc>
        <w:tc>
          <w:tcPr>
            <w:tcW w:w="2520" w:type="dxa"/>
          </w:tcPr>
          <w:p w:rsidR="00C02CBF" w:rsidRDefault="00C02CBF" w:rsidP="008D573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G1: 3b, 4b, 5b, 6b, 7b</w:t>
            </w:r>
          </w:p>
          <w:p w:rsidR="00C02CBF" w:rsidRDefault="00C02CBF" w:rsidP="008D573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C02CBF" w:rsidRDefault="00C02CBF" w:rsidP="008D573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G2: 3b, 5, 7b, 9</w:t>
            </w:r>
          </w:p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37"/>
        </w:trPr>
        <w:tc>
          <w:tcPr>
            <w:tcW w:w="552" w:type="dxa"/>
            <w:noWrap/>
          </w:tcPr>
          <w:p w:rsidR="00C02CBF" w:rsidRPr="00455008" w:rsidRDefault="00C02CBF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6018" w:type="dxa"/>
          </w:tcPr>
          <w:p w:rsidR="00C02CBF" w:rsidRPr="00455008" w:rsidRDefault="00C02CBF" w:rsidP="008D573C">
            <w:pPr>
              <w:keepLines/>
              <w:spacing w:after="0" w:line="240" w:lineRule="auto"/>
            </w:pPr>
            <w:r>
              <w:rPr>
                <w:rFonts w:ascii="Times New Roman" w:hAnsi="Times New Roman"/>
              </w:rPr>
              <w:t xml:space="preserve">Collect </w:t>
            </w:r>
            <w:r w:rsidRPr="005571C8">
              <w:rPr>
                <w:rFonts w:ascii="Times New Roman" w:hAnsi="Times New Roman"/>
                <w:b/>
              </w:rPr>
              <w:t>vaginal biopsy</w:t>
            </w:r>
            <w:r w:rsidRPr="00107B80">
              <w:rPr>
                <w:rFonts w:ascii="Times New Roman" w:hAnsi="Times New Roman"/>
              </w:rPr>
              <w:t>, measur</w:t>
            </w:r>
            <w:r>
              <w:rPr>
                <w:rFonts w:ascii="Times New Roman" w:hAnsi="Times New Roman"/>
              </w:rPr>
              <w:t>ing approximately 3mm by 5</w:t>
            </w:r>
            <w:r w:rsidRPr="00107B80">
              <w:rPr>
                <w:rFonts w:ascii="Times New Roman" w:hAnsi="Times New Roman"/>
              </w:rPr>
              <w:t>mm</w:t>
            </w:r>
          </w:p>
        </w:tc>
        <w:tc>
          <w:tcPr>
            <w:tcW w:w="2520" w:type="dxa"/>
          </w:tcPr>
          <w:p w:rsidR="00C02CBF" w:rsidRDefault="00C02CBF" w:rsidP="008D573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G1: 3b, 4b, 5b, 6b, 7b</w:t>
            </w:r>
          </w:p>
          <w:p w:rsidR="00C02CBF" w:rsidRDefault="00C02CBF" w:rsidP="008D573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C02CBF" w:rsidRDefault="00C02CBF" w:rsidP="008D573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G2: 3b, 5, 7b, 9</w:t>
            </w:r>
          </w:p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63" w:type="dxa"/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37"/>
        </w:trPr>
        <w:tc>
          <w:tcPr>
            <w:tcW w:w="552" w:type="dxa"/>
            <w:tcBorders>
              <w:bottom w:val="single" w:sz="4" w:space="0" w:color="auto"/>
            </w:tcBorders>
            <w:noWrap/>
          </w:tcPr>
          <w:p w:rsidR="00C02CBF" w:rsidRPr="00455008" w:rsidRDefault="00C02CBF" w:rsidP="00530546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6018" w:type="dxa"/>
            <w:tcBorders>
              <w:bottom w:val="single" w:sz="4" w:space="0" w:color="auto"/>
            </w:tcBorders>
          </w:tcPr>
          <w:p w:rsidR="00C02CBF" w:rsidRPr="00455008" w:rsidRDefault="00C02CBF" w:rsidP="00530546">
            <w:pPr>
              <w:keepLines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</w:rPr>
              <w:t>P</w:t>
            </w:r>
            <w:r w:rsidRPr="003E3A30">
              <w:rPr>
                <w:rFonts w:ascii="Times New Roman" w:hAnsi="Times New Roman"/>
              </w:rPr>
              <w:t>lace the</w:t>
            </w:r>
            <w:r>
              <w:rPr>
                <w:rFonts w:ascii="Times New Roman" w:hAnsi="Times New Roman"/>
              </w:rPr>
              <w:t xml:space="preserve"> </w:t>
            </w:r>
            <w:r w:rsidRPr="005571C8">
              <w:rPr>
                <w:rFonts w:ascii="Times New Roman" w:hAnsi="Times New Roman"/>
                <w:b/>
              </w:rPr>
              <w:t>rectal sponge</w:t>
            </w:r>
            <w:r>
              <w:rPr>
                <w:rFonts w:ascii="Times New Roman" w:hAnsi="Times New Roman"/>
              </w:rPr>
              <w:t xml:space="preserve"> </w:t>
            </w:r>
            <w:r w:rsidRPr="003E3A30">
              <w:rPr>
                <w:rFonts w:ascii="Times New Roman" w:hAnsi="Times New Roman"/>
              </w:rPr>
              <w:t xml:space="preserve">through the </w:t>
            </w:r>
            <w:proofErr w:type="spellStart"/>
            <w:r w:rsidRPr="003E3A30">
              <w:rPr>
                <w:rFonts w:ascii="Times New Roman" w:hAnsi="Times New Roman"/>
              </w:rPr>
              <w:t>anoscope</w:t>
            </w:r>
            <w:proofErr w:type="spellEnd"/>
            <w:r w:rsidRPr="003E3A30">
              <w:rPr>
                <w:rFonts w:ascii="Times New Roman" w:hAnsi="Times New Roman"/>
              </w:rPr>
              <w:t xml:space="preserve"> into the rectum</w:t>
            </w:r>
            <w:r>
              <w:rPr>
                <w:rFonts w:ascii="Times New Roman" w:hAnsi="Times New Roman"/>
              </w:rPr>
              <w:t>; remove sponge after 5 minutes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02CBF" w:rsidRDefault="00C02CBF" w:rsidP="0053054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G1: 3b, 4b, 5b, 6b, 7b</w:t>
            </w:r>
          </w:p>
          <w:p w:rsidR="00C02CBF" w:rsidRDefault="00C02CBF" w:rsidP="0053054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C02CBF" w:rsidRDefault="00C02CBF" w:rsidP="0053054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G2: 3b, 5, 7b, 9</w:t>
            </w:r>
          </w:p>
          <w:p w:rsidR="00C02CBF" w:rsidRPr="00455008" w:rsidRDefault="00C02CBF" w:rsidP="0053054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C02CBF" w:rsidRPr="00455008" w:rsidRDefault="00C02CBF" w:rsidP="0053054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2CBF" w:rsidRPr="00455008" w:rsidTr="002E6E9C">
        <w:trPr>
          <w:trHeight w:val="437"/>
        </w:trPr>
        <w:tc>
          <w:tcPr>
            <w:tcW w:w="552" w:type="dxa"/>
            <w:tcBorders>
              <w:bottom w:val="single" w:sz="4" w:space="0" w:color="auto"/>
            </w:tcBorders>
            <w:noWrap/>
          </w:tcPr>
          <w:p w:rsidR="00C02CBF" w:rsidRPr="00455008" w:rsidRDefault="00C02CBF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6018" w:type="dxa"/>
            <w:tcBorders>
              <w:bottom w:val="single" w:sz="4" w:space="0" w:color="auto"/>
            </w:tcBorders>
          </w:tcPr>
          <w:p w:rsidR="00C02CBF" w:rsidRPr="00455008" w:rsidRDefault="00C02CBF" w:rsidP="009E3C43">
            <w:pPr>
              <w:keepLines/>
              <w:spacing w:after="0" w:line="240" w:lineRule="auto"/>
            </w:pPr>
            <w:r w:rsidRPr="00455008">
              <w:t>Document all findings on Pelvic Exam Diagrams (non-</w:t>
            </w:r>
            <w:proofErr w:type="spellStart"/>
            <w:r w:rsidRPr="00455008">
              <w:t>DataFax</w:t>
            </w:r>
            <w:proofErr w:type="spellEnd"/>
            <w:r w:rsidRPr="00455008">
              <w:t xml:space="preserve">) CRF.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02CBF" w:rsidRPr="00455008" w:rsidRDefault="00C02CBF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C02CBF" w:rsidRPr="00455008" w:rsidRDefault="00C02CBF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C02CBF" w:rsidRDefault="00C02CBF"/>
    <w:sectPr w:rsidR="00C02CBF" w:rsidSect="00655EA1">
      <w:headerReference w:type="default" r:id="rId8"/>
      <w:footerReference w:type="default" r:id="rId9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BF" w:rsidRDefault="00C02CBF" w:rsidP="00664B51">
      <w:pPr>
        <w:spacing w:after="0" w:line="240" w:lineRule="auto"/>
      </w:pPr>
      <w:r>
        <w:separator/>
      </w:r>
    </w:p>
  </w:endnote>
  <w:endnote w:type="continuationSeparator" w:id="0">
    <w:p w:rsidR="00C02CBF" w:rsidRDefault="00C02CBF" w:rsidP="006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BF" w:rsidRDefault="00C02CBF">
    <w:pPr>
      <w:pStyle w:val="Footer"/>
    </w:pPr>
    <w:r>
      <w:rPr>
        <w:sz w:val="18"/>
        <w:szCs w:val="18"/>
      </w:rPr>
      <w:t>MTN-011 P</w:t>
    </w:r>
    <w:r w:rsidR="00EF3F93">
      <w:rPr>
        <w:sz w:val="18"/>
        <w:szCs w:val="18"/>
      </w:rPr>
      <w:t>elvic Exam Checklist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5C7EF1">
      <w:rPr>
        <w:sz w:val="18"/>
        <w:szCs w:val="18"/>
      </w:rPr>
      <w:t>21 February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BF" w:rsidRDefault="00C02CBF" w:rsidP="00664B51">
      <w:pPr>
        <w:spacing w:after="0" w:line="240" w:lineRule="auto"/>
      </w:pPr>
      <w:r>
        <w:separator/>
      </w:r>
    </w:p>
  </w:footnote>
  <w:footnote w:type="continuationSeparator" w:id="0">
    <w:p w:rsidR="00C02CBF" w:rsidRDefault="00C02CBF" w:rsidP="0066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BF" w:rsidRDefault="00C02CBF" w:rsidP="00663296">
    <w:pPr>
      <w:pStyle w:val="Header"/>
      <w:tabs>
        <w:tab w:val="clear" w:pos="9360"/>
        <w:tab w:val="right" w:pos="9990"/>
      </w:tabs>
      <w:ind w:left="-630"/>
    </w:pPr>
    <w:r>
      <w:t>PTID: __ __ __- __ __ __ __ __- __</w:t>
    </w:r>
    <w:r>
      <w:tab/>
      <w:t xml:space="preserve">                               Date: ______________________</w:t>
    </w:r>
    <w:r>
      <w:tab/>
      <w:t>Visit Code:__</w:t>
    </w:r>
    <w:r>
      <w:rPr>
        <w:u w:val="single"/>
      </w:rPr>
      <w:t>___</w:t>
    </w:r>
    <w: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17CFD"/>
    <w:multiLevelType w:val="hybridMultilevel"/>
    <w:tmpl w:val="71D8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13150"/>
    <w:multiLevelType w:val="hybridMultilevel"/>
    <w:tmpl w:val="F2D8CF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6"/>
  </w:num>
  <w:num w:numId="12">
    <w:abstractNumId w:val="3"/>
  </w:num>
  <w:num w:numId="13">
    <w:abstractNumId w:val="14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1"/>
    <w:rsid w:val="00003082"/>
    <w:rsid w:val="00007057"/>
    <w:rsid w:val="0002435A"/>
    <w:rsid w:val="000549F0"/>
    <w:rsid w:val="000664B4"/>
    <w:rsid w:val="00092CEA"/>
    <w:rsid w:val="000D6386"/>
    <w:rsid w:val="000D6EA8"/>
    <w:rsid w:val="000F680D"/>
    <w:rsid w:val="00107B80"/>
    <w:rsid w:val="001149E9"/>
    <w:rsid w:val="00137675"/>
    <w:rsid w:val="00144DE2"/>
    <w:rsid w:val="00152F1D"/>
    <w:rsid w:val="001759B3"/>
    <w:rsid w:val="001B2509"/>
    <w:rsid w:val="0020746A"/>
    <w:rsid w:val="00270C3A"/>
    <w:rsid w:val="002C4AC9"/>
    <w:rsid w:val="002C57E5"/>
    <w:rsid w:val="002E12C0"/>
    <w:rsid w:val="002E6E9C"/>
    <w:rsid w:val="002F132C"/>
    <w:rsid w:val="003374F9"/>
    <w:rsid w:val="00337617"/>
    <w:rsid w:val="00365A46"/>
    <w:rsid w:val="00380CD1"/>
    <w:rsid w:val="003A6C1B"/>
    <w:rsid w:val="003B07A2"/>
    <w:rsid w:val="003B14D6"/>
    <w:rsid w:val="003B279B"/>
    <w:rsid w:val="003C1E12"/>
    <w:rsid w:val="003E3A30"/>
    <w:rsid w:val="003E73D2"/>
    <w:rsid w:val="00407B39"/>
    <w:rsid w:val="00440A0D"/>
    <w:rsid w:val="004453FD"/>
    <w:rsid w:val="004507F4"/>
    <w:rsid w:val="00455008"/>
    <w:rsid w:val="00463882"/>
    <w:rsid w:val="00465E98"/>
    <w:rsid w:val="004D187F"/>
    <w:rsid w:val="00502000"/>
    <w:rsid w:val="00525639"/>
    <w:rsid w:val="00530546"/>
    <w:rsid w:val="00547844"/>
    <w:rsid w:val="005571C8"/>
    <w:rsid w:val="0056499E"/>
    <w:rsid w:val="005C7912"/>
    <w:rsid w:val="005C7EF1"/>
    <w:rsid w:val="005D499B"/>
    <w:rsid w:val="005F42BA"/>
    <w:rsid w:val="006463FB"/>
    <w:rsid w:val="00655EA1"/>
    <w:rsid w:val="00663296"/>
    <w:rsid w:val="006648F5"/>
    <w:rsid w:val="00664B51"/>
    <w:rsid w:val="00690F88"/>
    <w:rsid w:val="00697BFB"/>
    <w:rsid w:val="006E12BE"/>
    <w:rsid w:val="006E38F0"/>
    <w:rsid w:val="00702091"/>
    <w:rsid w:val="00717BBE"/>
    <w:rsid w:val="00743C55"/>
    <w:rsid w:val="00761EE8"/>
    <w:rsid w:val="00771AD7"/>
    <w:rsid w:val="00794097"/>
    <w:rsid w:val="00797FE5"/>
    <w:rsid w:val="007B4363"/>
    <w:rsid w:val="007C5F2E"/>
    <w:rsid w:val="00827DFF"/>
    <w:rsid w:val="008332D0"/>
    <w:rsid w:val="00850729"/>
    <w:rsid w:val="00865266"/>
    <w:rsid w:val="008A2417"/>
    <w:rsid w:val="008A636B"/>
    <w:rsid w:val="008A6F23"/>
    <w:rsid w:val="008B5294"/>
    <w:rsid w:val="008D573C"/>
    <w:rsid w:val="00936FF9"/>
    <w:rsid w:val="009604CE"/>
    <w:rsid w:val="00967D1F"/>
    <w:rsid w:val="00980382"/>
    <w:rsid w:val="00986AFF"/>
    <w:rsid w:val="00996896"/>
    <w:rsid w:val="009B5E54"/>
    <w:rsid w:val="009B7774"/>
    <w:rsid w:val="009D72CF"/>
    <w:rsid w:val="009E3C43"/>
    <w:rsid w:val="00A12DE8"/>
    <w:rsid w:val="00A55FC6"/>
    <w:rsid w:val="00A641AB"/>
    <w:rsid w:val="00A90E3A"/>
    <w:rsid w:val="00AB37AA"/>
    <w:rsid w:val="00AF4393"/>
    <w:rsid w:val="00AF75C7"/>
    <w:rsid w:val="00B02E4E"/>
    <w:rsid w:val="00B219B1"/>
    <w:rsid w:val="00B27601"/>
    <w:rsid w:val="00B74C1B"/>
    <w:rsid w:val="00BA0F7A"/>
    <w:rsid w:val="00BB6292"/>
    <w:rsid w:val="00BF0870"/>
    <w:rsid w:val="00BF1F17"/>
    <w:rsid w:val="00C02CBF"/>
    <w:rsid w:val="00C25406"/>
    <w:rsid w:val="00CA02D7"/>
    <w:rsid w:val="00CB4525"/>
    <w:rsid w:val="00CD37D0"/>
    <w:rsid w:val="00CD7E35"/>
    <w:rsid w:val="00D07155"/>
    <w:rsid w:val="00DA7D6C"/>
    <w:rsid w:val="00DB5108"/>
    <w:rsid w:val="00DB6AC3"/>
    <w:rsid w:val="00DC740D"/>
    <w:rsid w:val="00E14166"/>
    <w:rsid w:val="00E1610A"/>
    <w:rsid w:val="00E40E20"/>
    <w:rsid w:val="00E44A44"/>
    <w:rsid w:val="00E847CC"/>
    <w:rsid w:val="00E91672"/>
    <w:rsid w:val="00EE77A7"/>
    <w:rsid w:val="00EF3F93"/>
    <w:rsid w:val="00F54AD9"/>
    <w:rsid w:val="00F62B45"/>
    <w:rsid w:val="00F63C92"/>
    <w:rsid w:val="00F8675C"/>
    <w:rsid w:val="00F873C4"/>
    <w:rsid w:val="00F93B40"/>
    <w:rsid w:val="00FA1B59"/>
    <w:rsid w:val="00FA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  <w:style w:type="paragraph" w:styleId="BodyTextIndent">
    <w:name w:val="Body Text Indent"/>
    <w:basedOn w:val="Normal"/>
    <w:link w:val="BodyTextIndentChar"/>
    <w:uiPriority w:val="99"/>
    <w:rsid w:val="0066329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6329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  <w:style w:type="paragraph" w:styleId="BodyTextIndent">
    <w:name w:val="Body Text Indent"/>
    <w:basedOn w:val="Normal"/>
    <w:link w:val="BodyTextIndentChar"/>
    <w:uiPriority w:val="99"/>
    <w:rsid w:val="0066329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632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A3D7BA8A.dotm</Template>
  <TotalTime>2</TotalTime>
  <Pages>2</Pages>
  <Words>462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FHI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creator>Ashley Mayo (US - NC)</dc:creator>
  <cp:lastModifiedBy>llevy</cp:lastModifiedBy>
  <cp:revision>5</cp:revision>
  <dcterms:created xsi:type="dcterms:W3CDTF">2013-02-08T18:50:00Z</dcterms:created>
  <dcterms:modified xsi:type="dcterms:W3CDTF">2013-02-21T18:34:00Z</dcterms:modified>
</cp:coreProperties>
</file>