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1C" w:rsidRDefault="00A3161C">
      <w:pPr>
        <w:pStyle w:val="Footer"/>
        <w:tabs>
          <w:tab w:val="clear" w:pos="9360"/>
          <w:tab w:val="right" w:pos="9990"/>
        </w:tabs>
        <w:ind w:left="-630" w:right="-630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337617">
        <w:rPr>
          <w:rFonts w:ascii="Times New Roman" w:hAnsi="Times New Roman"/>
          <w:b/>
          <w:sz w:val="20"/>
          <w:szCs w:val="20"/>
        </w:rPr>
        <w:t>Instructions:</w:t>
      </w:r>
      <w:r w:rsidRPr="0033761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The “Required at visits” column indicates when the item is required during follow-up per-protocol. Procedures do not have to be conducted in the order in which they appear in the checklist. When an item is performed, complete the “S</w:t>
      </w:r>
      <w:r w:rsidRPr="00337617">
        <w:rPr>
          <w:rFonts w:ascii="Times New Roman" w:hAnsi="Times New Roman"/>
          <w:sz w:val="20"/>
          <w:szCs w:val="20"/>
        </w:rPr>
        <w:t>taff</w:t>
      </w:r>
      <w:r>
        <w:rPr>
          <w:rFonts w:ascii="Times New Roman" w:hAnsi="Times New Roman"/>
          <w:sz w:val="20"/>
          <w:szCs w:val="20"/>
        </w:rPr>
        <w:t xml:space="preserve"> I</w:t>
      </w:r>
      <w:r w:rsidRPr="00337617">
        <w:rPr>
          <w:rFonts w:ascii="Times New Roman" w:hAnsi="Times New Roman"/>
          <w:sz w:val="20"/>
          <w:szCs w:val="20"/>
        </w:rPr>
        <w:t>nitials</w:t>
      </w:r>
      <w:r>
        <w:rPr>
          <w:rFonts w:ascii="Times New Roman" w:hAnsi="Times New Roman"/>
          <w:sz w:val="20"/>
          <w:szCs w:val="20"/>
        </w:rPr>
        <w:t>” cell</w:t>
      </w:r>
      <w:r w:rsidRPr="00337617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If not done but required, write “ND” and staff initials in “Staff Initials” cell, and provide more details in the chart notes as needed. </w:t>
      </w:r>
      <w:r w:rsidRPr="0002435A">
        <w:rPr>
          <w:rFonts w:ascii="Times New Roman" w:hAnsi="Times New Roman"/>
          <w:sz w:val="20"/>
          <w:szCs w:val="20"/>
        </w:rPr>
        <w:t>Do not initial for other staff members.  If other staff membe</w:t>
      </w:r>
      <w:r>
        <w:rPr>
          <w:rFonts w:ascii="Times New Roman" w:hAnsi="Times New Roman"/>
          <w:sz w:val="20"/>
          <w:szCs w:val="20"/>
        </w:rPr>
        <w:t>rs are not available to initial</w:t>
      </w:r>
      <w:r w:rsidRPr="0002435A">
        <w:rPr>
          <w:rFonts w:ascii="Times New Roman" w:hAnsi="Times New Roman"/>
          <w:sz w:val="20"/>
          <w:szCs w:val="20"/>
        </w:rPr>
        <w:t xml:space="preserve"> items </w:t>
      </w:r>
      <w:proofErr w:type="gramStart"/>
      <w:r w:rsidRPr="0002435A">
        <w:rPr>
          <w:rFonts w:ascii="Times New Roman" w:hAnsi="Times New Roman"/>
          <w:sz w:val="20"/>
          <w:szCs w:val="20"/>
        </w:rPr>
        <w:t>themselves</w:t>
      </w:r>
      <w:proofErr w:type="gramEnd"/>
      <w:r w:rsidRPr="0002435A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write and</w:t>
      </w:r>
      <w:r w:rsidRPr="0002435A">
        <w:rPr>
          <w:rFonts w:ascii="Times New Roman" w:hAnsi="Times New Roman"/>
          <w:sz w:val="20"/>
          <w:szCs w:val="20"/>
        </w:rPr>
        <w:t xml:space="preserve"> initial</w:t>
      </w:r>
      <w:r>
        <w:rPr>
          <w:rFonts w:ascii="Times New Roman" w:hAnsi="Times New Roman"/>
          <w:sz w:val="20"/>
          <w:szCs w:val="20"/>
        </w:rPr>
        <w:t>/</w:t>
      </w:r>
      <w:r w:rsidRPr="0002435A">
        <w:rPr>
          <w:rFonts w:ascii="Times New Roman" w:hAnsi="Times New Roman"/>
          <w:sz w:val="20"/>
          <w:szCs w:val="20"/>
        </w:rPr>
        <w:t xml:space="preserve"> date a note documenting who completed the procedure, e.g., “done by {name}” or “done by nurse.”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A3161C" w:rsidRDefault="00A3161C">
      <w:pPr>
        <w:pStyle w:val="Footer"/>
        <w:jc w:val="both"/>
        <w:rPr>
          <w:rFonts w:ascii="Times New Roman" w:hAnsi="Times New Roman"/>
          <w:sz w:val="20"/>
          <w:szCs w:val="20"/>
        </w:rPr>
      </w:pPr>
    </w:p>
    <w:tbl>
      <w:tblPr>
        <w:tblW w:w="9180" w:type="dxa"/>
        <w:jc w:val="center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0"/>
        <w:gridCol w:w="6670"/>
        <w:gridCol w:w="1170"/>
        <w:gridCol w:w="900"/>
      </w:tblGrid>
      <w:tr w:rsidR="00A3161C" w:rsidRPr="006239A9" w:rsidTr="00FA7685">
        <w:trPr>
          <w:trHeight w:val="300"/>
          <w:tblHeader/>
          <w:jc w:val="center"/>
        </w:trPr>
        <w:tc>
          <w:tcPr>
            <w:tcW w:w="7110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A3161C" w:rsidRPr="00137BDD" w:rsidRDefault="00A3161C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GROUP 1 MALE Follow-up </w:t>
            </w:r>
            <w:r w:rsidRPr="00137BDD">
              <w:rPr>
                <w:rFonts w:cs="Calibri"/>
                <w:b/>
                <w:color w:val="000000"/>
              </w:rPr>
              <w:t>Procedure</w:t>
            </w:r>
            <w:r>
              <w:rPr>
                <w:rFonts w:cs="Calibri"/>
                <w:b/>
                <w:color w:val="000000"/>
              </w:rPr>
              <w:t xml:space="preserve">s 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bottom"/>
          </w:tcPr>
          <w:p w:rsidR="00A3161C" w:rsidRPr="00702091" w:rsidRDefault="00A3161C" w:rsidP="00882EB3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Required at visits: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bottom"/>
          </w:tcPr>
          <w:p w:rsidR="00A3161C" w:rsidRPr="00702091" w:rsidRDefault="00A3161C" w:rsidP="00882EB3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Staff Initials</w:t>
            </w:r>
          </w:p>
        </w:tc>
      </w:tr>
      <w:tr w:rsidR="00A3161C" w:rsidRPr="006239A9" w:rsidTr="00FA7685">
        <w:trPr>
          <w:trHeight w:val="450"/>
          <w:jc w:val="center"/>
        </w:trPr>
        <w:tc>
          <w:tcPr>
            <w:tcW w:w="9180" w:type="dxa"/>
            <w:gridSpan w:val="4"/>
            <w:shd w:val="clear" w:color="auto" w:fill="99CCFF"/>
            <w:noWrap/>
          </w:tcPr>
          <w:p w:rsidR="00A3161C" w:rsidRPr="003B279B" w:rsidRDefault="00A3161C" w:rsidP="00884F2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4F24">
              <w:rPr>
                <w:rFonts w:cs="Calibri"/>
                <w:color w:val="000000"/>
              </w:rPr>
              <w:t>Gel Provision Visits (3a, 5a, 7a)</w:t>
            </w:r>
          </w:p>
        </w:tc>
      </w:tr>
      <w:tr w:rsidR="00A3161C" w:rsidRPr="006239A9" w:rsidTr="00FA7685">
        <w:trPr>
          <w:trHeight w:val="450"/>
          <w:jc w:val="center"/>
        </w:trPr>
        <w:tc>
          <w:tcPr>
            <w:tcW w:w="440" w:type="dxa"/>
            <w:noWrap/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1</w:t>
            </w:r>
          </w:p>
        </w:tc>
        <w:tc>
          <w:tcPr>
            <w:tcW w:w="6670" w:type="dxa"/>
          </w:tcPr>
          <w:p w:rsidR="00A3161C" w:rsidRPr="003B279B" w:rsidRDefault="00A3161C" w:rsidP="00E847C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Confirm identity and PTID</w:t>
            </w:r>
          </w:p>
        </w:tc>
        <w:tc>
          <w:tcPr>
            <w:tcW w:w="1170" w:type="dxa"/>
            <w:vAlign w:val="center"/>
          </w:tcPr>
          <w:p w:rsidR="00A3161C" w:rsidRPr="003B279B" w:rsidRDefault="00A3161C" w:rsidP="00882E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3161C" w:rsidRPr="006239A9" w:rsidTr="00FA7685">
        <w:trPr>
          <w:trHeight w:val="930"/>
          <w:jc w:val="center"/>
        </w:trPr>
        <w:tc>
          <w:tcPr>
            <w:tcW w:w="440" w:type="dxa"/>
            <w:noWrap/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2</w:t>
            </w:r>
          </w:p>
        </w:tc>
        <w:tc>
          <w:tcPr>
            <w:tcW w:w="6670" w:type="dxa"/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Check for co-enrollment in other studies</w:t>
            </w:r>
            <w:r>
              <w:rPr>
                <w:rFonts w:cs="Calibri"/>
                <w:color w:val="000000"/>
              </w:rPr>
              <w:t>:</w:t>
            </w:r>
          </w:p>
          <w:p w:rsidR="00A3161C" w:rsidRDefault="00A3161C" w:rsidP="00502000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NOT enrolle</w:t>
            </w:r>
            <w:r>
              <w:rPr>
                <w:rFonts w:cs="Calibri"/>
                <w:color w:val="000000"/>
              </w:rPr>
              <w:t>d in another study ==&gt; CONTINUE</w:t>
            </w:r>
          </w:p>
          <w:p w:rsidR="00A3161C" w:rsidRPr="003B279B" w:rsidRDefault="00A3161C" w:rsidP="00AF4393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Enrolled in another study ==&gt; </w:t>
            </w:r>
            <w:r>
              <w:rPr>
                <w:rFonts w:cs="Calibri"/>
                <w:color w:val="000000"/>
              </w:rPr>
              <w:t>Consult PSRT</w:t>
            </w:r>
            <w:r w:rsidRPr="003B279B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A3161C" w:rsidRPr="003B279B" w:rsidRDefault="00A3161C" w:rsidP="00882E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3161C" w:rsidRPr="006239A9" w:rsidTr="00FA7685">
        <w:trPr>
          <w:trHeight w:val="426"/>
          <w:jc w:val="center"/>
        </w:trPr>
        <w:tc>
          <w:tcPr>
            <w:tcW w:w="440" w:type="dxa"/>
            <w:noWrap/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3</w:t>
            </w:r>
          </w:p>
        </w:tc>
        <w:tc>
          <w:tcPr>
            <w:tcW w:w="6670" w:type="dxa"/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Review elements </w:t>
            </w:r>
            <w:r>
              <w:rPr>
                <w:rFonts w:cs="Calibri"/>
                <w:color w:val="000000"/>
              </w:rPr>
              <w:t>of informed consent as needed</w:t>
            </w:r>
          </w:p>
        </w:tc>
        <w:tc>
          <w:tcPr>
            <w:tcW w:w="1170" w:type="dxa"/>
            <w:vAlign w:val="center"/>
          </w:tcPr>
          <w:p w:rsidR="00A3161C" w:rsidRPr="003B279B" w:rsidRDefault="00A3161C" w:rsidP="00882E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All </w:t>
            </w:r>
          </w:p>
        </w:tc>
        <w:tc>
          <w:tcPr>
            <w:tcW w:w="900" w:type="dxa"/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3161C" w:rsidRPr="006239A9" w:rsidTr="00FA7685">
        <w:trPr>
          <w:trHeight w:val="458"/>
          <w:jc w:val="center"/>
        </w:trPr>
        <w:tc>
          <w:tcPr>
            <w:tcW w:w="440" w:type="dxa"/>
            <w:noWrap/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4</w:t>
            </w:r>
          </w:p>
        </w:tc>
        <w:tc>
          <w:tcPr>
            <w:tcW w:w="6670" w:type="dxa"/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Review/update locator information </w:t>
            </w:r>
          </w:p>
        </w:tc>
        <w:tc>
          <w:tcPr>
            <w:tcW w:w="1170" w:type="dxa"/>
            <w:vAlign w:val="center"/>
          </w:tcPr>
          <w:p w:rsidR="00A3161C" w:rsidRPr="003B279B" w:rsidRDefault="00A3161C" w:rsidP="00882E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3161C" w:rsidRPr="006239A9" w:rsidTr="00FA7685">
        <w:trPr>
          <w:trHeight w:val="458"/>
          <w:jc w:val="center"/>
        </w:trPr>
        <w:tc>
          <w:tcPr>
            <w:tcW w:w="440" w:type="dxa"/>
            <w:noWrap/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6670" w:type="dxa"/>
          </w:tcPr>
          <w:p w:rsidR="00A3161C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Confirm continued participant monogamy</w:t>
            </w:r>
          </w:p>
          <w:p w:rsidR="00A3161C" w:rsidRDefault="00A3161C" w:rsidP="00986660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Monogamous ==&gt; CONTINUE</w:t>
            </w:r>
          </w:p>
          <w:p w:rsidR="00A3161C" w:rsidRDefault="00A3161C" w:rsidP="00986660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Not monogamous</w:t>
            </w:r>
            <w:r w:rsidRPr="003B279B">
              <w:rPr>
                <w:rFonts w:cs="Calibri"/>
                <w:color w:val="000000"/>
              </w:rPr>
              <w:t xml:space="preserve"> ==&gt; </w:t>
            </w:r>
            <w:r>
              <w:rPr>
                <w:rFonts w:cs="Calibri"/>
                <w:color w:val="000000"/>
              </w:rPr>
              <w:t>STOP.  Terminate participant and partner from study</w:t>
            </w:r>
          </w:p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A3161C" w:rsidRDefault="00167DCB" w:rsidP="00882E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3161C" w:rsidRPr="006239A9" w:rsidTr="00FA7685">
        <w:trPr>
          <w:trHeight w:val="458"/>
          <w:jc w:val="center"/>
        </w:trPr>
        <w:tc>
          <w:tcPr>
            <w:tcW w:w="440" w:type="dxa"/>
            <w:noWrap/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6670" w:type="dxa"/>
          </w:tcPr>
          <w:p w:rsidR="00A3161C" w:rsidRDefault="00A3161C" w:rsidP="000F481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t xml:space="preserve">Instruct participant to complete self-administered Male </w:t>
            </w:r>
            <w:r w:rsidRPr="0093689B">
              <w:t xml:space="preserve">Behavioral </w:t>
            </w:r>
            <w:r>
              <w:t>Questions.  Transcribe onto Male Practices Group 1- CRF</w:t>
            </w:r>
          </w:p>
        </w:tc>
        <w:tc>
          <w:tcPr>
            <w:tcW w:w="1170" w:type="dxa"/>
            <w:vAlign w:val="center"/>
          </w:tcPr>
          <w:p w:rsidR="00A3161C" w:rsidRDefault="00A3161C" w:rsidP="00882E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3161C" w:rsidRPr="006239A9" w:rsidTr="00FA7685">
        <w:trPr>
          <w:trHeight w:val="417"/>
          <w:jc w:val="center"/>
        </w:trPr>
        <w:tc>
          <w:tcPr>
            <w:tcW w:w="440" w:type="dxa"/>
            <w:noWrap/>
          </w:tcPr>
          <w:p w:rsidR="00A3161C" w:rsidRPr="003B279B" w:rsidRDefault="00A3161C" w:rsidP="00142C1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6670" w:type="dxa"/>
          </w:tcPr>
          <w:p w:rsidR="00A3161C" w:rsidRPr="003B279B" w:rsidRDefault="00A3161C" w:rsidP="00142C11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Collect follow-up medical</w:t>
            </w:r>
            <w:r>
              <w:rPr>
                <w:rFonts w:cs="Calibri"/>
                <w:color w:val="000000"/>
              </w:rPr>
              <w:t>/medications</w:t>
            </w:r>
            <w:r w:rsidRPr="003B279B">
              <w:rPr>
                <w:rFonts w:cs="Calibri"/>
                <w:color w:val="000000"/>
              </w:rPr>
              <w:t xml:space="preserve"> history</w:t>
            </w:r>
            <w:r>
              <w:rPr>
                <w:rFonts w:cs="Calibri"/>
                <w:color w:val="000000"/>
              </w:rPr>
              <w:t xml:space="preserve">: review/update AE Log, and Concomitant Medications Log CRFs. </w:t>
            </w:r>
          </w:p>
        </w:tc>
        <w:tc>
          <w:tcPr>
            <w:tcW w:w="1170" w:type="dxa"/>
            <w:vAlign w:val="center"/>
          </w:tcPr>
          <w:p w:rsidR="00A3161C" w:rsidRPr="003B279B" w:rsidRDefault="00A3161C" w:rsidP="00142C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A3161C" w:rsidRPr="003B279B" w:rsidRDefault="00A3161C" w:rsidP="00142C1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3161C" w:rsidRPr="006239A9" w:rsidTr="00FA7685">
        <w:trPr>
          <w:trHeight w:val="390"/>
          <w:jc w:val="center"/>
        </w:trPr>
        <w:tc>
          <w:tcPr>
            <w:tcW w:w="440" w:type="dxa"/>
            <w:noWrap/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6670" w:type="dxa"/>
          </w:tcPr>
          <w:p w:rsidR="00A3161C" w:rsidRPr="002C70C5" w:rsidRDefault="00A3161C" w:rsidP="009866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Provide modified </w:t>
            </w:r>
            <w:r w:rsidRPr="002C70C5">
              <w:rPr>
                <w:rFonts w:cs="Calibri"/>
                <w:color w:val="000000"/>
              </w:rPr>
              <w:t>HIV/STI risk reduction counsel</w:t>
            </w:r>
            <w:r>
              <w:rPr>
                <w:rFonts w:cs="Calibri"/>
                <w:color w:val="000000"/>
              </w:rPr>
              <w:t>ing</w:t>
            </w:r>
          </w:p>
        </w:tc>
        <w:tc>
          <w:tcPr>
            <w:tcW w:w="1170" w:type="dxa"/>
            <w:vAlign w:val="center"/>
          </w:tcPr>
          <w:p w:rsidR="00A3161C" w:rsidRPr="002C70C5" w:rsidRDefault="00167DCB" w:rsidP="00882E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Visits 3a, 5a</w:t>
            </w:r>
          </w:p>
        </w:tc>
        <w:tc>
          <w:tcPr>
            <w:tcW w:w="900" w:type="dxa"/>
          </w:tcPr>
          <w:p w:rsidR="00A3161C" w:rsidRPr="002C70C5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3161C" w:rsidRPr="006239A9" w:rsidTr="00FA7685">
        <w:trPr>
          <w:trHeight w:val="606"/>
          <w:jc w:val="center"/>
        </w:trPr>
        <w:tc>
          <w:tcPr>
            <w:tcW w:w="440" w:type="dxa"/>
            <w:noWrap/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6670" w:type="dxa"/>
          </w:tcPr>
          <w:p w:rsidR="00A3161C" w:rsidRPr="008A47B0" w:rsidRDefault="00A3161C" w:rsidP="00F25859">
            <w:pPr>
              <w:spacing w:after="0" w:line="240" w:lineRule="auto"/>
              <w:rPr>
                <w:rFonts w:cs="Calibri"/>
                <w:color w:val="000000"/>
              </w:rPr>
            </w:pPr>
            <w:r w:rsidRPr="008A47B0">
              <w:t xml:space="preserve">If indicated, </w:t>
            </w:r>
            <w:r w:rsidR="004D6022">
              <w:t>or if last clinic visit occurred more than 42 days ago,</w:t>
            </w:r>
            <w:r w:rsidR="004D6022" w:rsidRPr="008A47B0">
              <w:t xml:space="preserve"> </w:t>
            </w:r>
            <w:r w:rsidRPr="008A47B0">
              <w:t>collect urine for NAAT for GC/CT and urine culture</w:t>
            </w:r>
          </w:p>
        </w:tc>
        <w:tc>
          <w:tcPr>
            <w:tcW w:w="1170" w:type="dxa"/>
            <w:vAlign w:val="center"/>
          </w:tcPr>
          <w:p w:rsidR="00A3161C" w:rsidRPr="003E1CF8" w:rsidRDefault="004D6022" w:rsidP="00882E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If indicated</w:t>
            </w:r>
          </w:p>
        </w:tc>
        <w:tc>
          <w:tcPr>
            <w:tcW w:w="900" w:type="dxa"/>
          </w:tcPr>
          <w:p w:rsidR="00A3161C" w:rsidRPr="003E1CF8" w:rsidRDefault="00A3161C" w:rsidP="00DA0F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D6022" w:rsidRPr="006239A9" w:rsidTr="00FA7685">
        <w:trPr>
          <w:trHeight w:val="606"/>
          <w:jc w:val="center"/>
        </w:trPr>
        <w:tc>
          <w:tcPr>
            <w:tcW w:w="440" w:type="dxa"/>
            <w:noWrap/>
          </w:tcPr>
          <w:p w:rsidR="004D6022" w:rsidRDefault="004D6022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670" w:type="dxa"/>
          </w:tcPr>
          <w:p w:rsidR="004D6022" w:rsidRPr="008A47B0" w:rsidRDefault="004D6022" w:rsidP="00F25859">
            <w:pPr>
              <w:spacing w:after="0" w:line="240" w:lineRule="auto"/>
            </w:pPr>
            <w:r>
              <w:t xml:space="preserve">If last clinic visit occurred more than 42 days ago, collect </w:t>
            </w:r>
            <w:r>
              <w:rPr>
                <w:rFonts w:cs="Calibri"/>
                <w:color w:val="000000"/>
              </w:rPr>
              <w:t xml:space="preserve">5 </w:t>
            </w:r>
            <w:r w:rsidRPr="004470FA">
              <w:rPr>
                <w:rFonts w:cs="Calibri"/>
                <w:color w:val="000000"/>
              </w:rPr>
              <w:t>mL</w:t>
            </w:r>
            <w:r w:rsidRPr="008D0939">
              <w:t xml:space="preserve"> </w:t>
            </w:r>
            <w:r w:rsidRPr="008D0939">
              <w:rPr>
                <w:rFonts w:cs="Calibri"/>
                <w:color w:val="000000"/>
              </w:rPr>
              <w:t xml:space="preserve">EDTA, plain, or serum separator tube </w:t>
            </w:r>
            <w:r w:rsidRPr="004470FA">
              <w:rPr>
                <w:rFonts w:cs="Calibri"/>
                <w:color w:val="000000"/>
              </w:rPr>
              <w:t>for syphilis serology</w:t>
            </w:r>
            <w:r w:rsidR="008360DD">
              <w:rPr>
                <w:rFonts w:cs="Calibri"/>
                <w:color w:val="000000"/>
              </w:rPr>
              <w:t>, and 5mL for HIV serology</w:t>
            </w:r>
          </w:p>
        </w:tc>
        <w:tc>
          <w:tcPr>
            <w:tcW w:w="1170" w:type="dxa"/>
            <w:vAlign w:val="center"/>
          </w:tcPr>
          <w:p w:rsidR="004D6022" w:rsidDel="004D6022" w:rsidRDefault="004D6022" w:rsidP="00882E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If indicated</w:t>
            </w:r>
          </w:p>
        </w:tc>
        <w:tc>
          <w:tcPr>
            <w:tcW w:w="900" w:type="dxa"/>
          </w:tcPr>
          <w:p w:rsidR="004D6022" w:rsidRPr="003E1CF8" w:rsidRDefault="004D6022" w:rsidP="00DA0F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3161C" w:rsidRPr="006239A9" w:rsidTr="00FA7685">
        <w:trPr>
          <w:trHeight w:val="642"/>
          <w:jc w:val="center"/>
        </w:trPr>
        <w:tc>
          <w:tcPr>
            <w:tcW w:w="440" w:type="dxa"/>
            <w:noWrap/>
          </w:tcPr>
          <w:p w:rsidR="00A3161C" w:rsidRPr="003B279B" w:rsidRDefault="00A3161C" w:rsidP="00142C1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6670" w:type="dxa"/>
          </w:tcPr>
          <w:p w:rsidR="00A3161C" w:rsidRPr="008A47B0" w:rsidRDefault="00167DCB" w:rsidP="00956E9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If indicated, p</w:t>
            </w:r>
            <w:r w:rsidR="00A3161C" w:rsidRPr="008A47B0">
              <w:rPr>
                <w:rFonts w:cs="Calibri"/>
                <w:color w:val="000000"/>
              </w:rPr>
              <w:t>erform and document modified physical exam. Complete Physical Exam – Male form (non-</w:t>
            </w:r>
            <w:proofErr w:type="spellStart"/>
            <w:r w:rsidR="00A3161C" w:rsidRPr="008A47B0">
              <w:rPr>
                <w:rFonts w:cs="Calibri"/>
                <w:color w:val="000000"/>
              </w:rPr>
              <w:t>DataFax</w:t>
            </w:r>
            <w:proofErr w:type="spellEnd"/>
            <w:r w:rsidR="00A3161C" w:rsidRPr="008A47B0">
              <w:rPr>
                <w:rFonts w:cs="Calibri"/>
                <w:color w:val="000000"/>
              </w:rPr>
              <w:t>).</w:t>
            </w:r>
          </w:p>
        </w:tc>
        <w:tc>
          <w:tcPr>
            <w:tcW w:w="1170" w:type="dxa"/>
            <w:vAlign w:val="center"/>
          </w:tcPr>
          <w:p w:rsidR="00A3161C" w:rsidRPr="003B279B" w:rsidRDefault="004D6022" w:rsidP="00142C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If indicated</w:t>
            </w:r>
            <w:r w:rsidDel="00167DCB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900" w:type="dxa"/>
          </w:tcPr>
          <w:p w:rsidR="00A3161C" w:rsidRPr="003B279B" w:rsidRDefault="00A3161C" w:rsidP="00142C1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3161C" w:rsidRPr="006239A9" w:rsidTr="00FA7685">
        <w:trPr>
          <w:trHeight w:val="642"/>
          <w:jc w:val="center"/>
        </w:trPr>
        <w:tc>
          <w:tcPr>
            <w:tcW w:w="440" w:type="dxa"/>
            <w:noWrap/>
          </w:tcPr>
          <w:p w:rsidR="00A3161C" w:rsidRPr="003B279B" w:rsidRDefault="00A3161C" w:rsidP="00142C1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6670" w:type="dxa"/>
          </w:tcPr>
          <w:p w:rsidR="00A3161C" w:rsidRDefault="00A3161C" w:rsidP="00956E9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If indicated, p</w:t>
            </w:r>
            <w:r w:rsidRPr="003B279B">
              <w:rPr>
                <w:rFonts w:cs="Calibri"/>
                <w:color w:val="000000"/>
              </w:rPr>
              <w:t xml:space="preserve">erform and document </w:t>
            </w:r>
            <w:r>
              <w:rPr>
                <w:rFonts w:cs="Calibri"/>
                <w:color w:val="000000"/>
              </w:rPr>
              <w:t>genital exam</w:t>
            </w:r>
          </w:p>
        </w:tc>
        <w:tc>
          <w:tcPr>
            <w:tcW w:w="1170" w:type="dxa"/>
            <w:vAlign w:val="center"/>
          </w:tcPr>
          <w:p w:rsidR="00A3161C" w:rsidRPr="003B279B" w:rsidRDefault="004D6022" w:rsidP="00142C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If indicated</w:t>
            </w:r>
            <w:r w:rsidDel="00167DCB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900" w:type="dxa"/>
          </w:tcPr>
          <w:p w:rsidR="00A3161C" w:rsidRPr="003B279B" w:rsidRDefault="00A3161C" w:rsidP="00142C1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3161C" w:rsidRPr="006239A9" w:rsidTr="00FA7685">
        <w:trPr>
          <w:trHeight w:val="435"/>
          <w:jc w:val="center"/>
        </w:trPr>
        <w:tc>
          <w:tcPr>
            <w:tcW w:w="440" w:type="dxa"/>
            <w:noWrap/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6670" w:type="dxa"/>
          </w:tcPr>
          <w:p w:rsidR="00A3161C" w:rsidRPr="003B279B" w:rsidRDefault="00A3161C" w:rsidP="00CA02D7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If STI/RTI/UTI is diagnosed, provide treatment</w:t>
            </w:r>
            <w:r>
              <w:rPr>
                <w:rFonts w:cs="Calibri"/>
                <w:color w:val="000000"/>
              </w:rPr>
              <w:t>.</w:t>
            </w:r>
          </w:p>
        </w:tc>
        <w:tc>
          <w:tcPr>
            <w:tcW w:w="1170" w:type="dxa"/>
            <w:vAlign w:val="center"/>
          </w:tcPr>
          <w:p w:rsidR="00A3161C" w:rsidRPr="003B279B" w:rsidRDefault="00A3161C" w:rsidP="00882E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3161C" w:rsidRPr="006239A9" w:rsidTr="00FA7685">
        <w:trPr>
          <w:trHeight w:val="435"/>
          <w:jc w:val="center"/>
        </w:trPr>
        <w:tc>
          <w:tcPr>
            <w:tcW w:w="440" w:type="dxa"/>
            <w:noWrap/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6670" w:type="dxa"/>
          </w:tcPr>
          <w:p w:rsidR="00A3161C" w:rsidRPr="003B279B" w:rsidRDefault="00A3161C" w:rsidP="00CA02D7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Provide and explain all available findings and results.  Refer for findings as indicated.</w:t>
            </w:r>
          </w:p>
        </w:tc>
        <w:tc>
          <w:tcPr>
            <w:tcW w:w="1170" w:type="dxa"/>
            <w:vAlign w:val="center"/>
          </w:tcPr>
          <w:p w:rsidR="00A3161C" w:rsidRPr="003B279B" w:rsidRDefault="00A3161C" w:rsidP="00882E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3161C" w:rsidRPr="006239A9" w:rsidTr="00FA7685">
        <w:trPr>
          <w:trHeight w:val="710"/>
          <w:jc w:val="center"/>
        </w:trPr>
        <w:tc>
          <w:tcPr>
            <w:tcW w:w="440" w:type="dxa"/>
            <w:noWrap/>
          </w:tcPr>
          <w:p w:rsidR="00A3161C" w:rsidRPr="003F7805" w:rsidRDefault="00A3161C" w:rsidP="00142C11">
            <w:pPr>
              <w:spacing w:after="0" w:line="240" w:lineRule="auto"/>
            </w:pPr>
            <w:r>
              <w:t>14</w:t>
            </w:r>
          </w:p>
        </w:tc>
        <w:tc>
          <w:tcPr>
            <w:tcW w:w="6670" w:type="dxa"/>
          </w:tcPr>
          <w:p w:rsidR="00A3161C" w:rsidRPr="003F7805" w:rsidRDefault="00A3161C" w:rsidP="00142C11">
            <w:pPr>
              <w:spacing w:after="0" w:line="240" w:lineRule="auto"/>
            </w:pPr>
            <w:r>
              <w:t xml:space="preserve">Provide logistical information and instructions for coitus.  </w:t>
            </w:r>
          </w:p>
        </w:tc>
        <w:tc>
          <w:tcPr>
            <w:tcW w:w="1170" w:type="dxa"/>
          </w:tcPr>
          <w:p w:rsidR="00A3161C" w:rsidRPr="003F7805" w:rsidRDefault="00A3161C" w:rsidP="00DB0F68">
            <w:pPr>
              <w:spacing w:after="0" w:line="240" w:lineRule="auto"/>
              <w:jc w:val="center"/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A3161C" w:rsidRPr="003F7805" w:rsidRDefault="00A3161C" w:rsidP="00142C11">
            <w:pPr>
              <w:spacing w:after="0" w:line="240" w:lineRule="auto"/>
            </w:pPr>
          </w:p>
        </w:tc>
      </w:tr>
      <w:tr w:rsidR="00A3161C" w:rsidRPr="006239A9" w:rsidTr="00FA7685">
        <w:trPr>
          <w:trHeight w:val="710"/>
          <w:jc w:val="center"/>
        </w:trPr>
        <w:tc>
          <w:tcPr>
            <w:tcW w:w="440" w:type="dxa"/>
            <w:noWrap/>
          </w:tcPr>
          <w:p w:rsidR="00A3161C" w:rsidRPr="003F7805" w:rsidRDefault="00A3161C" w:rsidP="00142C11">
            <w:pPr>
              <w:spacing w:after="0" w:line="240" w:lineRule="auto"/>
            </w:pPr>
            <w:r>
              <w:t>15</w:t>
            </w:r>
          </w:p>
        </w:tc>
        <w:tc>
          <w:tcPr>
            <w:tcW w:w="6670" w:type="dxa"/>
          </w:tcPr>
          <w:p w:rsidR="00A3161C" w:rsidRPr="003F7805" w:rsidRDefault="00A3161C" w:rsidP="00142C11">
            <w:pPr>
              <w:spacing w:after="0" w:line="240" w:lineRule="auto"/>
            </w:pPr>
            <w:r w:rsidRPr="003F7805">
              <w:t>Schedule</w:t>
            </w:r>
            <w:r>
              <w:t xml:space="preserve"> next</w:t>
            </w:r>
            <w:r w:rsidRPr="003F7805">
              <w:t xml:space="preserve"> visit</w:t>
            </w:r>
            <w:r>
              <w:t>, if applicable</w:t>
            </w:r>
          </w:p>
        </w:tc>
        <w:tc>
          <w:tcPr>
            <w:tcW w:w="1170" w:type="dxa"/>
          </w:tcPr>
          <w:p w:rsidR="00A3161C" w:rsidRPr="003F7805" w:rsidRDefault="00A3161C" w:rsidP="00DB0F68">
            <w:pPr>
              <w:spacing w:after="0" w:line="240" w:lineRule="auto"/>
              <w:jc w:val="center"/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A3161C" w:rsidRPr="003F7805" w:rsidRDefault="00A3161C" w:rsidP="00142C11">
            <w:pPr>
              <w:spacing w:after="0" w:line="240" w:lineRule="auto"/>
            </w:pPr>
          </w:p>
        </w:tc>
      </w:tr>
      <w:tr w:rsidR="00A3161C" w:rsidRPr="006239A9" w:rsidTr="00FA7685">
        <w:trPr>
          <w:trHeight w:val="440"/>
          <w:jc w:val="center"/>
        </w:trPr>
        <w:tc>
          <w:tcPr>
            <w:tcW w:w="440" w:type="dxa"/>
            <w:noWrap/>
          </w:tcPr>
          <w:p w:rsidR="00A3161C" w:rsidRPr="003F7805" w:rsidRDefault="00A3161C" w:rsidP="00142C11">
            <w:pPr>
              <w:spacing w:after="0" w:line="240" w:lineRule="auto"/>
            </w:pPr>
            <w:r>
              <w:t>16</w:t>
            </w:r>
          </w:p>
        </w:tc>
        <w:tc>
          <w:tcPr>
            <w:tcW w:w="6670" w:type="dxa"/>
          </w:tcPr>
          <w:p w:rsidR="00A3161C" w:rsidRPr="003F7805" w:rsidRDefault="00A3161C" w:rsidP="00142C11">
            <w:pPr>
              <w:spacing w:after="0" w:line="240" w:lineRule="auto"/>
            </w:pPr>
            <w:r w:rsidRPr="003F7805">
              <w:t>Provide reimbursement</w:t>
            </w:r>
          </w:p>
        </w:tc>
        <w:tc>
          <w:tcPr>
            <w:tcW w:w="1170" w:type="dxa"/>
          </w:tcPr>
          <w:p w:rsidR="00A3161C" w:rsidRPr="003F7805" w:rsidRDefault="00A3161C" w:rsidP="00DB0F68">
            <w:pPr>
              <w:spacing w:after="0" w:line="240" w:lineRule="auto"/>
              <w:jc w:val="center"/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A3161C" w:rsidRPr="003F7805" w:rsidRDefault="00A3161C" w:rsidP="00142C11">
            <w:pPr>
              <w:spacing w:after="0" w:line="240" w:lineRule="auto"/>
            </w:pPr>
          </w:p>
        </w:tc>
      </w:tr>
      <w:tr w:rsidR="00A3161C" w:rsidRPr="006239A9" w:rsidTr="00FA7685">
        <w:trPr>
          <w:trHeight w:val="350"/>
          <w:jc w:val="center"/>
        </w:trPr>
        <w:tc>
          <w:tcPr>
            <w:tcW w:w="9180" w:type="dxa"/>
            <w:gridSpan w:val="4"/>
            <w:tcBorders>
              <w:bottom w:val="single" w:sz="4" w:space="0" w:color="auto"/>
            </w:tcBorders>
            <w:shd w:val="clear" w:color="auto" w:fill="99CCFF"/>
            <w:noWrap/>
          </w:tcPr>
          <w:p w:rsidR="00A3161C" w:rsidRDefault="00A3161C" w:rsidP="00142C11">
            <w:pPr>
              <w:spacing w:after="0" w:line="240" w:lineRule="auto"/>
              <w:jc w:val="center"/>
            </w:pPr>
          </w:p>
          <w:p w:rsidR="00A3161C" w:rsidRDefault="00A3161C" w:rsidP="00142C11">
            <w:pPr>
              <w:spacing w:after="0" w:line="240" w:lineRule="auto"/>
              <w:jc w:val="center"/>
            </w:pPr>
            <w:r>
              <w:t>Post-Coitus Visit (ONLY 7b)</w:t>
            </w:r>
          </w:p>
          <w:p w:rsidR="00A3161C" w:rsidRDefault="00A3161C" w:rsidP="00F2585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3161C" w:rsidRPr="006239A9" w:rsidTr="00FA76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61C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Default="00A3161C" w:rsidP="000F4818">
            <w:pPr>
              <w:spacing w:after="0" w:line="240" w:lineRule="auto"/>
            </w:pPr>
            <w:r>
              <w:t>Conduct CASI Exit Acceptability assessment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Default="00A3161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 7b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3161C" w:rsidRPr="006239A9" w:rsidTr="00FA76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61C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Default="00A3161C" w:rsidP="00142C11">
            <w:pPr>
              <w:spacing w:after="0" w:line="240" w:lineRule="auto"/>
            </w:pPr>
            <w:r>
              <w:t>If indicated, perform physical exam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Default="00A3161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 7b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3161C" w:rsidRPr="006239A9" w:rsidTr="00FA76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61C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Default="00A3161C" w:rsidP="00142C11">
            <w:pPr>
              <w:spacing w:after="0" w:line="240" w:lineRule="auto"/>
            </w:pPr>
            <w:r>
              <w:t>If indicated, collect urine for urine culture and/or NAAT for GC/CT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Default="00A3161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 7b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3161C" w:rsidRPr="006239A9" w:rsidTr="00FA76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61C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Default="00A3161C" w:rsidP="00142C11">
            <w:pPr>
              <w:spacing w:after="0" w:line="240" w:lineRule="auto"/>
            </w:pPr>
            <w:r>
              <w:t>Perform and document genital exam:</w:t>
            </w:r>
          </w:p>
          <w:p w:rsidR="00A3161C" w:rsidRDefault="00A3161C" w:rsidP="00142C11">
            <w:pPr>
              <w:spacing w:after="0" w:line="240" w:lineRule="auto"/>
              <w:rPr>
                <w:rFonts w:cs="Calibri"/>
                <w:color w:val="000000"/>
              </w:rPr>
            </w:pPr>
            <w:r w:rsidRPr="008A47B0">
              <w:rPr>
                <w:rFonts w:cs="Calibri"/>
                <w:color w:val="000000"/>
              </w:rPr>
              <w:t>Complete Genital Exam form (non-</w:t>
            </w:r>
            <w:proofErr w:type="spellStart"/>
            <w:r w:rsidRPr="008A47B0">
              <w:rPr>
                <w:rFonts w:cs="Calibri"/>
                <w:color w:val="000000"/>
              </w:rPr>
              <w:t>DataFax</w:t>
            </w:r>
            <w:proofErr w:type="spellEnd"/>
            <w:r w:rsidRPr="008A47B0">
              <w:rPr>
                <w:rFonts w:cs="Calibri"/>
                <w:color w:val="000000"/>
              </w:rPr>
              <w:t>).</w:t>
            </w:r>
          </w:p>
          <w:p w:rsidR="00A3161C" w:rsidRDefault="00A3161C" w:rsidP="00142C11">
            <w:pPr>
              <w:spacing w:after="0" w:line="240" w:lineRule="auto"/>
            </w:pPr>
          </w:p>
          <w:p w:rsidR="00A3161C" w:rsidRDefault="00A3161C" w:rsidP="00ED724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General inspection via naked eye and if necessary, hand=held magnifying glass of the following:</w:t>
            </w:r>
          </w:p>
          <w:p w:rsidR="00A3161C" w:rsidRDefault="00A3161C" w:rsidP="008A47B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Internal and external foreskin (if present)</w:t>
            </w:r>
          </w:p>
          <w:p w:rsidR="00A3161C" w:rsidRDefault="00A3161C" w:rsidP="008A47B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Entire penile surface</w:t>
            </w:r>
          </w:p>
          <w:p w:rsidR="00A3161C" w:rsidRDefault="00A3161C" w:rsidP="008A47B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Shaft</w:t>
            </w:r>
          </w:p>
          <w:p w:rsidR="00A3161C" w:rsidRDefault="00A3161C" w:rsidP="008A47B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Glans</w:t>
            </w:r>
          </w:p>
          <w:p w:rsidR="00A3161C" w:rsidRDefault="00A3161C" w:rsidP="008A47B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Urethral meatus</w:t>
            </w:r>
          </w:p>
          <w:p w:rsidR="00A3161C" w:rsidRDefault="00A3161C" w:rsidP="008A47B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Scrotum</w:t>
            </w:r>
          </w:p>
          <w:p w:rsidR="00A3161C" w:rsidRPr="00ED724B" w:rsidRDefault="00A3161C" w:rsidP="008A47B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Inguinal lymph nodes (right and left)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Default="00A3161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 7b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3161C" w:rsidRPr="006239A9" w:rsidTr="00FA76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61C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Default="00A3161C" w:rsidP="005D50A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Provide and document counseling:</w:t>
            </w:r>
          </w:p>
          <w:p w:rsidR="00A3161C" w:rsidRPr="002B2D61" w:rsidRDefault="00A3161C" w:rsidP="005D50A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B2D61">
              <w:rPr>
                <w:rFonts w:cs="Calibri"/>
                <w:color w:val="000000"/>
              </w:rPr>
              <w:t>HIV pre-test counseling</w:t>
            </w:r>
          </w:p>
          <w:p w:rsidR="00A3161C" w:rsidRPr="002B2D61" w:rsidRDefault="00A3161C" w:rsidP="005D50A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B2D61">
              <w:rPr>
                <w:rFonts w:cs="Calibri"/>
                <w:color w:val="000000"/>
              </w:rPr>
              <w:t>HIV/STI risk reduction counseling</w:t>
            </w:r>
          </w:p>
          <w:p w:rsidR="00A3161C" w:rsidRDefault="00A3161C" w:rsidP="00142C1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Default="00A3161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 7b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3161C" w:rsidRPr="006239A9" w:rsidTr="00FA76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61C" w:rsidRDefault="00A3161C" w:rsidP="00142C1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Pr="003E1CF8" w:rsidRDefault="00A3161C" w:rsidP="0039519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Collect 5 mL blood and p</w:t>
            </w:r>
            <w:r w:rsidRPr="003B279B">
              <w:rPr>
                <w:rFonts w:cs="Calibri"/>
                <w:color w:val="000000"/>
              </w:rPr>
              <w:t xml:space="preserve">erform and document </w:t>
            </w:r>
            <w:r>
              <w:rPr>
                <w:rFonts w:cs="Calibri"/>
                <w:color w:val="000000"/>
              </w:rPr>
              <w:t>HIV testing.</w:t>
            </w:r>
            <w:r w:rsidRPr="00E83C62">
              <w:rPr>
                <w:rFonts w:cs="Calibri"/>
                <w:i/>
                <w:color w:val="00000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Default="00A3161C" w:rsidP="00142C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 7b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Pr="003B279B" w:rsidRDefault="00A3161C" w:rsidP="00142C1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3161C" w:rsidRPr="006239A9" w:rsidTr="00FA76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61C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Default="00A3161C" w:rsidP="00142C11">
            <w:pPr>
              <w:spacing w:after="0" w:line="240" w:lineRule="auto"/>
            </w:pPr>
            <w:r>
              <w:t>Document and report Adverse Events per site SOP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Default="00A3161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 7b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3161C" w:rsidRPr="006239A9" w:rsidTr="00FA76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61C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Default="00A3161C" w:rsidP="00142C11">
            <w:pPr>
              <w:spacing w:after="0" w:line="240" w:lineRule="auto"/>
            </w:pPr>
            <w:r>
              <w:t>If indicated, refer for UTI/RTI/STI treatment per site SOP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Default="00A3161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 7b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3161C" w:rsidRPr="006239A9" w:rsidTr="00FA76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61C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Default="00A3161C" w:rsidP="009F2927">
            <w:pPr>
              <w:spacing w:after="0" w:line="240" w:lineRule="auto"/>
            </w:pPr>
            <w:r>
              <w:t xml:space="preserve">Provide contact information and instructions to report symptoms and/or request information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Default="00A3161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 7b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3161C" w:rsidRPr="006239A9" w:rsidTr="00FA76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61C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Default="00A3161C" w:rsidP="00142C11">
            <w:pPr>
              <w:spacing w:after="0" w:line="240" w:lineRule="auto"/>
            </w:pPr>
            <w:r>
              <w:t xml:space="preserve">Schedule next visit, if indicated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Default="00A3161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 7b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3161C" w:rsidRPr="006239A9" w:rsidTr="00FA76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61C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Default="00A3161C" w:rsidP="00142C11">
            <w:pPr>
              <w:spacing w:after="0" w:line="240" w:lineRule="auto"/>
            </w:pPr>
            <w:r>
              <w:t>Provide reimbursement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Default="00A3161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 7b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3161C" w:rsidRPr="006239A9" w:rsidTr="00FA76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Default="00A3161C" w:rsidP="004B7E19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Review and f</w:t>
            </w:r>
            <w:r w:rsidRPr="003B279B">
              <w:rPr>
                <w:rFonts w:cs="Calibri"/>
                <w:color w:val="000000"/>
              </w:rPr>
              <w:t xml:space="preserve">ax all required </w:t>
            </w:r>
            <w:proofErr w:type="spellStart"/>
            <w:r w:rsidRPr="003B279B">
              <w:rPr>
                <w:rFonts w:cs="Calibri"/>
                <w:color w:val="000000"/>
              </w:rPr>
              <w:t>D</w:t>
            </w:r>
            <w:r>
              <w:rPr>
                <w:rFonts w:cs="Calibri"/>
                <w:color w:val="000000"/>
              </w:rPr>
              <w:t>ataFax</w:t>
            </w:r>
            <w:proofErr w:type="spellEnd"/>
            <w:r>
              <w:rPr>
                <w:rFonts w:cs="Calibri"/>
                <w:color w:val="000000"/>
              </w:rPr>
              <w:t xml:space="preserve"> forms to SCHARP </w:t>
            </w:r>
            <w:proofErr w:type="spellStart"/>
            <w:r>
              <w:rPr>
                <w:rFonts w:cs="Calibri"/>
                <w:color w:val="000000"/>
              </w:rPr>
              <w:t>DataFax</w:t>
            </w:r>
            <w:proofErr w:type="spellEnd"/>
            <w:r>
              <w:rPr>
                <w:rFonts w:cs="Calibri"/>
                <w:color w:val="000000"/>
              </w:rPr>
              <w:t>.</w:t>
            </w:r>
          </w:p>
          <w:p w:rsidR="00A3161C" w:rsidRPr="00996794" w:rsidRDefault="00A3161C" w:rsidP="00956E92">
            <w:pPr>
              <w:spacing w:after="0" w:line="240" w:lineRule="auto"/>
              <w:rPr>
                <w:b/>
              </w:rPr>
            </w:pPr>
            <w:r w:rsidRPr="00710487">
              <w:rPr>
                <w:b/>
              </w:rPr>
              <w:t>Visit</w:t>
            </w:r>
            <w:r>
              <w:rPr>
                <w:b/>
              </w:rPr>
              <w:t>s 3a, 5a, 7a, 7b</w:t>
            </w:r>
            <w:r w:rsidRPr="00710487">
              <w:rPr>
                <w:b/>
              </w:rPr>
              <w:t>:</w:t>
            </w:r>
          </w:p>
          <w:p w:rsidR="00A3161C" w:rsidRDefault="00A3161C" w:rsidP="00956E9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Male Practices – Group 1 (Visits 3a, 5a, 7a)</w:t>
            </w:r>
          </w:p>
          <w:p w:rsidR="00A3161C" w:rsidRDefault="00A3161C" w:rsidP="00956E9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Physical Exam – Male (non-</w:t>
            </w:r>
            <w:proofErr w:type="spellStart"/>
            <w:r>
              <w:rPr>
                <w:rFonts w:cs="Calibri"/>
                <w:color w:val="000000"/>
              </w:rPr>
              <w:t>DataFax</w:t>
            </w:r>
            <w:proofErr w:type="spellEnd"/>
            <w:r>
              <w:rPr>
                <w:rFonts w:cs="Calibri"/>
                <w:color w:val="000000"/>
              </w:rPr>
              <w:t>) (Visits 3a, 5a, 7a)</w:t>
            </w:r>
            <w:r w:rsidR="004D6022">
              <w:rPr>
                <w:rFonts w:cs="Calibri"/>
                <w:color w:val="000000"/>
              </w:rPr>
              <w:t>, if indicated</w:t>
            </w:r>
          </w:p>
          <w:p w:rsidR="00A3161C" w:rsidRPr="003B279B" w:rsidRDefault="00A3161C" w:rsidP="00956E9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Genital Exam - Male (non-</w:t>
            </w:r>
            <w:proofErr w:type="spellStart"/>
            <w:r>
              <w:rPr>
                <w:rFonts w:cs="Calibri"/>
                <w:color w:val="000000"/>
              </w:rPr>
              <w:t>DataFax</w:t>
            </w:r>
            <w:proofErr w:type="spellEnd"/>
            <w:r>
              <w:rPr>
                <w:rFonts w:cs="Calibri"/>
                <w:color w:val="000000"/>
              </w:rPr>
              <w:t>) (Visit 7b)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Default="00A3161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A3161C" w:rsidRPr="003B279B" w:rsidRDefault="00A3161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A3161C" w:rsidRDefault="00A3161C"/>
    <w:sectPr w:rsidR="00A3161C" w:rsidSect="00655EA1">
      <w:headerReference w:type="default" r:id="rId8"/>
      <w:footerReference w:type="default" r:id="rId9"/>
      <w:pgSz w:w="12240" w:h="15840"/>
      <w:pgMar w:top="1260" w:right="1440" w:bottom="1170" w:left="1440" w:header="720" w:footer="7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61C" w:rsidRDefault="00A3161C" w:rsidP="00664B51">
      <w:pPr>
        <w:spacing w:after="0" w:line="240" w:lineRule="auto"/>
      </w:pPr>
      <w:r>
        <w:separator/>
      </w:r>
    </w:p>
  </w:endnote>
  <w:endnote w:type="continuationSeparator" w:id="0">
    <w:p w:rsidR="00A3161C" w:rsidRDefault="00A3161C" w:rsidP="00664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1C" w:rsidRDefault="00A3161C">
    <w:pPr>
      <w:pStyle w:val="Footer"/>
    </w:pPr>
    <w:r>
      <w:rPr>
        <w:sz w:val="18"/>
        <w:szCs w:val="18"/>
      </w:rPr>
      <w:t>MTN-011 MALE Follow-up Visit Checklist (Group 1)</w:t>
    </w:r>
    <w:r w:rsidR="00BD0860">
      <w:rPr>
        <w:sz w:val="18"/>
        <w:szCs w:val="18"/>
      </w:rPr>
      <w:t>, Version 2.0</w:t>
    </w:r>
    <w:r w:rsidR="00DB0F68">
      <w:rPr>
        <w:sz w:val="18"/>
        <w:szCs w:val="18"/>
      </w:rPr>
      <w:tab/>
    </w:r>
    <w:r>
      <w:rPr>
        <w:sz w:val="18"/>
        <w:szCs w:val="18"/>
      </w:rPr>
      <w:tab/>
    </w:r>
    <w:r w:rsidR="004D6022">
      <w:rPr>
        <w:sz w:val="18"/>
        <w:szCs w:val="18"/>
      </w:rPr>
      <w:t>18 November</w:t>
    </w:r>
    <w:r w:rsidR="00BD0860">
      <w:rPr>
        <w:sz w:val="18"/>
        <w:szCs w:val="18"/>
      </w:rPr>
      <w:t xml:space="preserve">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61C" w:rsidRDefault="00A3161C" w:rsidP="00664B51">
      <w:pPr>
        <w:spacing w:after="0" w:line="240" w:lineRule="auto"/>
      </w:pPr>
      <w:r>
        <w:separator/>
      </w:r>
    </w:p>
  </w:footnote>
  <w:footnote w:type="continuationSeparator" w:id="0">
    <w:p w:rsidR="00A3161C" w:rsidRDefault="00A3161C" w:rsidP="00664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1C" w:rsidRDefault="00A3161C">
    <w:pPr>
      <w:pStyle w:val="Header"/>
      <w:tabs>
        <w:tab w:val="clear" w:pos="9360"/>
        <w:tab w:val="right" w:pos="9990"/>
      </w:tabs>
      <w:ind w:left="-630"/>
    </w:pPr>
    <w:r>
      <w:t>PTID: __ __ __- __ __ __ __ __- __</w:t>
    </w:r>
    <w:r>
      <w:tab/>
      <w:t xml:space="preserve">                               Date: ______________________</w:t>
    </w:r>
    <w:r>
      <w:tab/>
      <w:t>Visit Code</w:t>
    </w:r>
    <w:proofErr w:type="gramStart"/>
    <w:r>
      <w:t>:_</w:t>
    </w:r>
    <w:proofErr w:type="gramEnd"/>
    <w:r>
      <w:t>_</w:t>
    </w:r>
    <w:r>
      <w:rPr>
        <w:u w:val="single"/>
      </w:rPr>
      <w:t>___</w:t>
    </w:r>
    <w:r>
      <w:t>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0E3"/>
    <w:multiLevelType w:val="hybridMultilevel"/>
    <w:tmpl w:val="2A50BF2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127AA"/>
    <w:multiLevelType w:val="hybridMultilevel"/>
    <w:tmpl w:val="A66ACBB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72360"/>
    <w:multiLevelType w:val="hybridMultilevel"/>
    <w:tmpl w:val="A37EA6D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11287"/>
    <w:multiLevelType w:val="hybridMultilevel"/>
    <w:tmpl w:val="0A04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A227C"/>
    <w:multiLevelType w:val="hybridMultilevel"/>
    <w:tmpl w:val="3E44028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B45740"/>
    <w:multiLevelType w:val="hybridMultilevel"/>
    <w:tmpl w:val="559C919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B6B80"/>
    <w:multiLevelType w:val="hybridMultilevel"/>
    <w:tmpl w:val="AEF81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21F3B"/>
    <w:multiLevelType w:val="hybridMultilevel"/>
    <w:tmpl w:val="A860E04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0768E0"/>
    <w:multiLevelType w:val="hybridMultilevel"/>
    <w:tmpl w:val="5CFCB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307D44"/>
    <w:multiLevelType w:val="hybridMultilevel"/>
    <w:tmpl w:val="0680CFE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372BD6"/>
    <w:multiLevelType w:val="hybridMultilevel"/>
    <w:tmpl w:val="5F58387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45FFD"/>
    <w:multiLevelType w:val="hybridMultilevel"/>
    <w:tmpl w:val="7E9A806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5273F"/>
    <w:multiLevelType w:val="hybridMultilevel"/>
    <w:tmpl w:val="D25CA99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9808EA"/>
    <w:multiLevelType w:val="hybridMultilevel"/>
    <w:tmpl w:val="6156B17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71958"/>
    <w:multiLevelType w:val="hybridMultilevel"/>
    <w:tmpl w:val="EBA6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736BD0"/>
    <w:multiLevelType w:val="hybridMultilevel"/>
    <w:tmpl w:val="B0F63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315F0B"/>
    <w:multiLevelType w:val="hybridMultilevel"/>
    <w:tmpl w:val="D3AAB82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375D7"/>
    <w:multiLevelType w:val="hybridMultilevel"/>
    <w:tmpl w:val="F0D4A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7B3505"/>
    <w:multiLevelType w:val="hybridMultilevel"/>
    <w:tmpl w:val="83E2D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052ED1"/>
    <w:multiLevelType w:val="hybridMultilevel"/>
    <w:tmpl w:val="885A588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913150"/>
    <w:multiLevelType w:val="hybridMultilevel"/>
    <w:tmpl w:val="F2D8CF9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4"/>
  </w:num>
  <w:num w:numId="4">
    <w:abstractNumId w:val="13"/>
  </w:num>
  <w:num w:numId="5">
    <w:abstractNumId w:val="12"/>
  </w:num>
  <w:num w:numId="6">
    <w:abstractNumId w:val="11"/>
  </w:num>
  <w:num w:numId="7">
    <w:abstractNumId w:val="0"/>
  </w:num>
  <w:num w:numId="8">
    <w:abstractNumId w:val="4"/>
  </w:num>
  <w:num w:numId="9">
    <w:abstractNumId w:val="15"/>
  </w:num>
  <w:num w:numId="10">
    <w:abstractNumId w:val="3"/>
  </w:num>
  <w:num w:numId="11">
    <w:abstractNumId w:val="9"/>
  </w:num>
  <w:num w:numId="12">
    <w:abstractNumId w:val="5"/>
  </w:num>
  <w:num w:numId="13">
    <w:abstractNumId w:val="19"/>
  </w:num>
  <w:num w:numId="14">
    <w:abstractNumId w:val="20"/>
  </w:num>
  <w:num w:numId="15">
    <w:abstractNumId w:val="7"/>
  </w:num>
  <w:num w:numId="16">
    <w:abstractNumId w:val="16"/>
  </w:num>
  <w:num w:numId="17">
    <w:abstractNumId w:val="10"/>
  </w:num>
  <w:num w:numId="18">
    <w:abstractNumId w:val="1"/>
  </w:num>
  <w:num w:numId="19">
    <w:abstractNumId w:val="18"/>
  </w:num>
  <w:num w:numId="20">
    <w:abstractNumId w:val="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91"/>
    <w:rsid w:val="000030B8"/>
    <w:rsid w:val="0002435A"/>
    <w:rsid w:val="000549F0"/>
    <w:rsid w:val="000664B4"/>
    <w:rsid w:val="00077179"/>
    <w:rsid w:val="00083FB7"/>
    <w:rsid w:val="000D6EA8"/>
    <w:rsid w:val="000E2DBC"/>
    <w:rsid w:val="000F4818"/>
    <w:rsid w:val="000F4A25"/>
    <w:rsid w:val="0011076F"/>
    <w:rsid w:val="0013097B"/>
    <w:rsid w:val="00137675"/>
    <w:rsid w:val="00137BDD"/>
    <w:rsid w:val="00142C11"/>
    <w:rsid w:val="00144DE2"/>
    <w:rsid w:val="00167DCB"/>
    <w:rsid w:val="0018382A"/>
    <w:rsid w:val="001967E5"/>
    <w:rsid w:val="001A7608"/>
    <w:rsid w:val="001B468C"/>
    <w:rsid w:val="002104F5"/>
    <w:rsid w:val="002631C6"/>
    <w:rsid w:val="00270C3A"/>
    <w:rsid w:val="002B2D61"/>
    <w:rsid w:val="002C4AC9"/>
    <w:rsid w:val="002C57E5"/>
    <w:rsid w:val="002C70C5"/>
    <w:rsid w:val="002E12C0"/>
    <w:rsid w:val="003374F9"/>
    <w:rsid w:val="00337617"/>
    <w:rsid w:val="00355945"/>
    <w:rsid w:val="00360B01"/>
    <w:rsid w:val="0038024C"/>
    <w:rsid w:val="00395195"/>
    <w:rsid w:val="003B07A2"/>
    <w:rsid w:val="003B14D6"/>
    <w:rsid w:val="003B279B"/>
    <w:rsid w:val="003E1CF8"/>
    <w:rsid w:val="003E73D2"/>
    <w:rsid w:val="003F7805"/>
    <w:rsid w:val="004122BF"/>
    <w:rsid w:val="00426CA9"/>
    <w:rsid w:val="004507F4"/>
    <w:rsid w:val="0048522B"/>
    <w:rsid w:val="004A1A10"/>
    <w:rsid w:val="004A1A5C"/>
    <w:rsid w:val="004A4F56"/>
    <w:rsid w:val="004B0637"/>
    <w:rsid w:val="004B7E19"/>
    <w:rsid w:val="004D6022"/>
    <w:rsid w:val="00502000"/>
    <w:rsid w:val="00525639"/>
    <w:rsid w:val="0054035C"/>
    <w:rsid w:val="0056499E"/>
    <w:rsid w:val="005C7912"/>
    <w:rsid w:val="005D10D9"/>
    <w:rsid w:val="005D50AC"/>
    <w:rsid w:val="005E6BF0"/>
    <w:rsid w:val="005F42BA"/>
    <w:rsid w:val="00604FD6"/>
    <w:rsid w:val="006239A9"/>
    <w:rsid w:val="00635E7C"/>
    <w:rsid w:val="006519C8"/>
    <w:rsid w:val="006530DF"/>
    <w:rsid w:val="00655EA1"/>
    <w:rsid w:val="00656FC6"/>
    <w:rsid w:val="006609B6"/>
    <w:rsid w:val="006648F5"/>
    <w:rsid w:val="00664B51"/>
    <w:rsid w:val="006D4322"/>
    <w:rsid w:val="006D63E3"/>
    <w:rsid w:val="006E12BE"/>
    <w:rsid w:val="006F097E"/>
    <w:rsid w:val="006F2544"/>
    <w:rsid w:val="00702091"/>
    <w:rsid w:val="00710487"/>
    <w:rsid w:val="00732F5C"/>
    <w:rsid w:val="00737EE3"/>
    <w:rsid w:val="007633F7"/>
    <w:rsid w:val="00771AD7"/>
    <w:rsid w:val="00793BCC"/>
    <w:rsid w:val="007B279C"/>
    <w:rsid w:val="007B46ED"/>
    <w:rsid w:val="007B7230"/>
    <w:rsid w:val="007D53E7"/>
    <w:rsid w:val="008056D4"/>
    <w:rsid w:val="00827DFF"/>
    <w:rsid w:val="008332D0"/>
    <w:rsid w:val="008360DD"/>
    <w:rsid w:val="00850729"/>
    <w:rsid w:val="00865266"/>
    <w:rsid w:val="00882EB3"/>
    <w:rsid w:val="00884B9A"/>
    <w:rsid w:val="00884F24"/>
    <w:rsid w:val="008915C7"/>
    <w:rsid w:val="008917EB"/>
    <w:rsid w:val="008A47B0"/>
    <w:rsid w:val="008A636B"/>
    <w:rsid w:val="008A7F75"/>
    <w:rsid w:val="008B5294"/>
    <w:rsid w:val="008F6447"/>
    <w:rsid w:val="0093689B"/>
    <w:rsid w:val="00943C97"/>
    <w:rsid w:val="00956E92"/>
    <w:rsid w:val="00980382"/>
    <w:rsid w:val="00985F13"/>
    <w:rsid w:val="00986660"/>
    <w:rsid w:val="00996794"/>
    <w:rsid w:val="009F2927"/>
    <w:rsid w:val="00A00407"/>
    <w:rsid w:val="00A07942"/>
    <w:rsid w:val="00A1439F"/>
    <w:rsid w:val="00A3161C"/>
    <w:rsid w:val="00A33D48"/>
    <w:rsid w:val="00A3401C"/>
    <w:rsid w:val="00A36E83"/>
    <w:rsid w:val="00A532FD"/>
    <w:rsid w:val="00AF4393"/>
    <w:rsid w:val="00B02E4E"/>
    <w:rsid w:val="00B17BDF"/>
    <w:rsid w:val="00B219B1"/>
    <w:rsid w:val="00B27601"/>
    <w:rsid w:val="00B31A72"/>
    <w:rsid w:val="00B53D7F"/>
    <w:rsid w:val="00B64784"/>
    <w:rsid w:val="00B74C1B"/>
    <w:rsid w:val="00B97033"/>
    <w:rsid w:val="00BA0F7A"/>
    <w:rsid w:val="00BA3AC8"/>
    <w:rsid w:val="00BA593C"/>
    <w:rsid w:val="00BB1CF0"/>
    <w:rsid w:val="00BB6292"/>
    <w:rsid w:val="00BD0860"/>
    <w:rsid w:val="00BD33FA"/>
    <w:rsid w:val="00BD55D7"/>
    <w:rsid w:val="00BE6A45"/>
    <w:rsid w:val="00BF0870"/>
    <w:rsid w:val="00BF1F17"/>
    <w:rsid w:val="00C05A9A"/>
    <w:rsid w:val="00C13E03"/>
    <w:rsid w:val="00C36008"/>
    <w:rsid w:val="00C509BF"/>
    <w:rsid w:val="00C82721"/>
    <w:rsid w:val="00C845DF"/>
    <w:rsid w:val="00C942F6"/>
    <w:rsid w:val="00CA02D7"/>
    <w:rsid w:val="00CC0D42"/>
    <w:rsid w:val="00CD1403"/>
    <w:rsid w:val="00CD7E35"/>
    <w:rsid w:val="00D04F17"/>
    <w:rsid w:val="00D07155"/>
    <w:rsid w:val="00D22DAC"/>
    <w:rsid w:val="00D2370F"/>
    <w:rsid w:val="00D342C2"/>
    <w:rsid w:val="00D75276"/>
    <w:rsid w:val="00D8350C"/>
    <w:rsid w:val="00D87AF3"/>
    <w:rsid w:val="00D94445"/>
    <w:rsid w:val="00DA0F23"/>
    <w:rsid w:val="00DA7D6C"/>
    <w:rsid w:val="00DB0F68"/>
    <w:rsid w:val="00DB6AC3"/>
    <w:rsid w:val="00DC3C0D"/>
    <w:rsid w:val="00DC740D"/>
    <w:rsid w:val="00DE1653"/>
    <w:rsid w:val="00E14166"/>
    <w:rsid w:val="00E1610A"/>
    <w:rsid w:val="00E221CF"/>
    <w:rsid w:val="00E40E20"/>
    <w:rsid w:val="00E83C62"/>
    <w:rsid w:val="00E847CC"/>
    <w:rsid w:val="00EB1AA8"/>
    <w:rsid w:val="00EB460D"/>
    <w:rsid w:val="00ED4CFC"/>
    <w:rsid w:val="00ED724B"/>
    <w:rsid w:val="00EE77A7"/>
    <w:rsid w:val="00F243BC"/>
    <w:rsid w:val="00F25859"/>
    <w:rsid w:val="00F35ECE"/>
    <w:rsid w:val="00F54AD9"/>
    <w:rsid w:val="00F54C05"/>
    <w:rsid w:val="00F62B45"/>
    <w:rsid w:val="00F63C92"/>
    <w:rsid w:val="00FA1B59"/>
    <w:rsid w:val="00FA407D"/>
    <w:rsid w:val="00FA462F"/>
    <w:rsid w:val="00FA7280"/>
    <w:rsid w:val="00FA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0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20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70209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020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0209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0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209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33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332D0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4B5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4B51"/>
    <w:rPr>
      <w:rFonts w:cs="Times New Roman"/>
    </w:rPr>
  </w:style>
  <w:style w:type="paragraph" w:styleId="Revision">
    <w:name w:val="Revision"/>
    <w:hidden/>
    <w:uiPriority w:val="99"/>
    <w:semiHidden/>
    <w:rsid w:val="00F63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0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20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70209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020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0209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0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209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33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332D0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4B5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4B51"/>
    <w:rPr>
      <w:rFonts w:cs="Times New Roman"/>
    </w:rPr>
  </w:style>
  <w:style w:type="paragraph" w:styleId="Revision">
    <w:name w:val="Revision"/>
    <w:hidden/>
    <w:uiPriority w:val="99"/>
    <w:semiHidden/>
    <w:rsid w:val="00F6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3015</Characters>
  <Application>Microsoft Office Word</Application>
  <DocSecurity>0</DocSecurity>
  <Lines>25</Lines>
  <Paragraphs>7</Paragraphs>
  <ScaleCrop>false</ScaleCrop>
  <Company>FHI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  The “Required at visits” column indicates when the item is required during follow-up per-protocol</dc:title>
  <dc:creator>Ashley Mayo (US - NC)</dc:creator>
  <cp:lastModifiedBy>Lisa Levy</cp:lastModifiedBy>
  <cp:revision>2</cp:revision>
  <dcterms:created xsi:type="dcterms:W3CDTF">2013-11-25T19:33:00Z</dcterms:created>
  <dcterms:modified xsi:type="dcterms:W3CDTF">2013-11-25T19:33:00Z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914213961</vt:i4>
  </property>
  <property fmtid="{D5CDD505-2E9C-101B-9397-08002B2CF9AE}" pid="3" name="_NewReviewCycle">
    <vt:lpwstr/>
  </property>
  <property fmtid="{D5CDD505-2E9C-101B-9397-08002B2CF9AE}" pid="4" name="_EmailSubject">
    <vt:lpwstr>documents for posting to 011 SI webpage</vt:lpwstr>
  </property>
  <property fmtid="{D5CDD505-2E9C-101B-9397-08002B2CF9AE}" pid="5" name="_AuthorEmail">
    <vt:lpwstr>LLevy@fhi360.org</vt:lpwstr>
  </property>
  <property fmtid="{D5CDD505-2E9C-101B-9397-08002B2CF9AE}" pid="6" name="_AuthorEmailDisplayName">
    <vt:lpwstr>Lisa Levy</vt:lpwstr>
  </property>
</Properties>
</file>