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BD" w:rsidRDefault="002736BD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r w:rsidRPr="00337617">
        <w:rPr>
          <w:rFonts w:ascii="Times New Roman" w:hAnsi="Times New Roman"/>
          <w:b/>
          <w:sz w:val="20"/>
          <w:szCs w:val="20"/>
        </w:rPr>
        <w:t>Instructions:</w:t>
      </w:r>
      <w:r w:rsidRPr="003376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The “Required at visits” column indicates when the item is required during follow-up per-protocol. Procedures do not have to be conducted in the order in which they appear in the checklist. When an item is performed, complete the “S</w:t>
      </w:r>
      <w:r w:rsidRPr="00337617">
        <w:rPr>
          <w:rFonts w:ascii="Times New Roman" w:hAnsi="Times New Roman"/>
          <w:sz w:val="20"/>
          <w:szCs w:val="20"/>
        </w:rPr>
        <w:t>taff</w:t>
      </w:r>
      <w:r>
        <w:rPr>
          <w:rFonts w:ascii="Times New Roman" w:hAnsi="Times New Roman"/>
          <w:sz w:val="20"/>
          <w:szCs w:val="20"/>
        </w:rPr>
        <w:t xml:space="preserve"> 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>Do not initial for other staff members.  If other staff membe</w:t>
      </w:r>
      <w:r>
        <w:rPr>
          <w:rFonts w:ascii="Times New Roman" w:hAnsi="Times New Roman"/>
          <w:sz w:val="20"/>
          <w:szCs w:val="20"/>
        </w:rPr>
        <w:t>rs are not available to initial</w:t>
      </w:r>
      <w:r w:rsidRPr="0002435A">
        <w:rPr>
          <w:rFonts w:ascii="Times New Roman" w:hAnsi="Times New Roman"/>
          <w:sz w:val="20"/>
          <w:szCs w:val="20"/>
        </w:rPr>
        <w:t xml:space="preserve"> items </w:t>
      </w:r>
      <w:proofErr w:type="gramStart"/>
      <w:r w:rsidRPr="0002435A">
        <w:rPr>
          <w:rFonts w:ascii="Times New Roman" w:hAnsi="Times New Roman"/>
          <w:sz w:val="20"/>
          <w:szCs w:val="20"/>
        </w:rPr>
        <w:t>themselves</w:t>
      </w:r>
      <w:proofErr w:type="gramEnd"/>
      <w:r w:rsidRPr="0002435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 xml:space="preserve"> 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736BD" w:rsidRDefault="002736BD">
      <w:pPr>
        <w:pStyle w:val="Footer"/>
        <w:jc w:val="both"/>
        <w:rPr>
          <w:rFonts w:ascii="Times New Roman" w:hAnsi="Times New Roman"/>
          <w:sz w:val="20"/>
          <w:szCs w:val="20"/>
        </w:rPr>
      </w:pPr>
    </w:p>
    <w:tbl>
      <w:tblPr>
        <w:tblW w:w="9180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670"/>
        <w:gridCol w:w="1170"/>
        <w:gridCol w:w="900"/>
      </w:tblGrid>
      <w:tr w:rsidR="002736BD" w:rsidRPr="006239A9" w:rsidTr="00916456">
        <w:trPr>
          <w:trHeight w:val="300"/>
          <w:tblHeader/>
          <w:jc w:val="center"/>
        </w:trPr>
        <w:tc>
          <w:tcPr>
            <w:tcW w:w="7110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2736BD" w:rsidRPr="00137BDD" w:rsidRDefault="00F92C18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GROUP 2 </w:t>
            </w:r>
            <w:r w:rsidR="002736BD">
              <w:rPr>
                <w:rFonts w:cs="Calibri"/>
                <w:b/>
                <w:color w:val="000000"/>
              </w:rPr>
              <w:t>Female and Male</w:t>
            </w:r>
            <w:r>
              <w:rPr>
                <w:rFonts w:cs="Calibri"/>
                <w:b/>
                <w:color w:val="000000"/>
              </w:rPr>
              <w:t xml:space="preserve"> Final Visit</w:t>
            </w:r>
            <w:r w:rsidR="002736BD">
              <w:rPr>
                <w:rFonts w:cs="Calibri"/>
                <w:b/>
                <w:color w:val="000000"/>
              </w:rPr>
              <w:t xml:space="preserve"> </w:t>
            </w:r>
            <w:r w:rsidR="002736BD" w:rsidRPr="00137BDD">
              <w:rPr>
                <w:rFonts w:cs="Calibri"/>
                <w:b/>
                <w:color w:val="000000"/>
              </w:rPr>
              <w:t>Procedure</w:t>
            </w:r>
            <w:r w:rsidR="002736BD">
              <w:rPr>
                <w:rFonts w:cs="Calibri"/>
                <w:b/>
                <w:color w:val="000000"/>
              </w:rPr>
              <w:t xml:space="preserve">s 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2736BD" w:rsidRPr="00702091" w:rsidRDefault="002736BD" w:rsidP="00882E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 xml:space="preserve">Female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Ppt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2736BD" w:rsidRPr="00702091" w:rsidRDefault="002736BD" w:rsidP="00882E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 xml:space="preserve">Male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Ppt</w:t>
            </w:r>
            <w:proofErr w:type="spellEnd"/>
          </w:p>
        </w:tc>
      </w:tr>
      <w:tr w:rsidR="002736BD" w:rsidRPr="006239A9" w:rsidTr="00916456">
        <w:trPr>
          <w:trHeight w:val="450"/>
          <w:jc w:val="center"/>
        </w:trPr>
        <w:tc>
          <w:tcPr>
            <w:tcW w:w="440" w:type="dxa"/>
            <w:noWrap/>
          </w:tcPr>
          <w:p w:rsidR="002736BD" w:rsidRPr="003B279B" w:rsidRDefault="002736BD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1</w:t>
            </w:r>
          </w:p>
        </w:tc>
        <w:tc>
          <w:tcPr>
            <w:tcW w:w="6670" w:type="dxa"/>
          </w:tcPr>
          <w:p w:rsidR="002736BD" w:rsidRPr="003B279B" w:rsidRDefault="002736BD" w:rsidP="00E847C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identity and PTID</w:t>
            </w:r>
          </w:p>
        </w:tc>
        <w:tc>
          <w:tcPr>
            <w:tcW w:w="1170" w:type="dxa"/>
            <w:vAlign w:val="center"/>
          </w:tcPr>
          <w:p w:rsidR="002736BD" w:rsidRPr="003B279B" w:rsidRDefault="002736BD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2736BD" w:rsidRPr="003B279B" w:rsidRDefault="002736BD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36BD" w:rsidRPr="006239A9" w:rsidTr="00916456">
        <w:trPr>
          <w:trHeight w:val="930"/>
          <w:jc w:val="center"/>
        </w:trPr>
        <w:tc>
          <w:tcPr>
            <w:tcW w:w="440" w:type="dxa"/>
            <w:noWrap/>
          </w:tcPr>
          <w:p w:rsidR="002736BD" w:rsidRPr="003B279B" w:rsidRDefault="002736BD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2</w:t>
            </w:r>
          </w:p>
        </w:tc>
        <w:tc>
          <w:tcPr>
            <w:tcW w:w="6670" w:type="dxa"/>
          </w:tcPr>
          <w:p w:rsidR="002736BD" w:rsidRPr="003B279B" w:rsidRDefault="002736BD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Check for co-enrollment in other studies</w:t>
            </w:r>
            <w:r>
              <w:rPr>
                <w:rFonts w:cs="Calibri"/>
                <w:color w:val="000000"/>
              </w:rPr>
              <w:t>:</w:t>
            </w:r>
          </w:p>
          <w:p w:rsidR="002736BD" w:rsidRDefault="002736BD" w:rsidP="0050200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NOT enrolle</w:t>
            </w:r>
            <w:r>
              <w:rPr>
                <w:rFonts w:cs="Calibri"/>
                <w:color w:val="000000"/>
              </w:rPr>
              <w:t>d in another study ==&gt; CONTINUE</w:t>
            </w:r>
          </w:p>
          <w:p w:rsidR="002736BD" w:rsidRPr="003B279B" w:rsidRDefault="002736BD" w:rsidP="00AF4393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Enrolled in another study ==&gt; </w:t>
            </w:r>
            <w:r>
              <w:rPr>
                <w:rFonts w:cs="Calibri"/>
                <w:color w:val="000000"/>
              </w:rPr>
              <w:t>Consult PSRT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2736BD" w:rsidRPr="003B279B" w:rsidRDefault="002736BD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2736BD" w:rsidRPr="003B279B" w:rsidRDefault="002736BD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36BD" w:rsidRPr="006239A9" w:rsidTr="00916456">
        <w:trPr>
          <w:trHeight w:val="426"/>
          <w:jc w:val="center"/>
        </w:trPr>
        <w:tc>
          <w:tcPr>
            <w:tcW w:w="440" w:type="dxa"/>
            <w:noWrap/>
          </w:tcPr>
          <w:p w:rsidR="002736BD" w:rsidRPr="003B279B" w:rsidRDefault="002736BD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3</w:t>
            </w:r>
          </w:p>
        </w:tc>
        <w:tc>
          <w:tcPr>
            <w:tcW w:w="6670" w:type="dxa"/>
          </w:tcPr>
          <w:p w:rsidR="002736BD" w:rsidRPr="003B279B" w:rsidRDefault="002736BD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>of informed consent as needed</w:t>
            </w:r>
          </w:p>
        </w:tc>
        <w:tc>
          <w:tcPr>
            <w:tcW w:w="1170" w:type="dxa"/>
            <w:vAlign w:val="center"/>
          </w:tcPr>
          <w:p w:rsidR="002736BD" w:rsidRPr="003B279B" w:rsidRDefault="002736BD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2736BD" w:rsidRPr="003B279B" w:rsidRDefault="002736BD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36BD" w:rsidRPr="006239A9" w:rsidTr="00916456">
        <w:trPr>
          <w:trHeight w:val="458"/>
          <w:jc w:val="center"/>
        </w:trPr>
        <w:tc>
          <w:tcPr>
            <w:tcW w:w="440" w:type="dxa"/>
            <w:noWrap/>
          </w:tcPr>
          <w:p w:rsidR="002736BD" w:rsidRPr="003B279B" w:rsidRDefault="002736BD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4</w:t>
            </w:r>
          </w:p>
        </w:tc>
        <w:tc>
          <w:tcPr>
            <w:tcW w:w="6670" w:type="dxa"/>
          </w:tcPr>
          <w:p w:rsidR="002736BD" w:rsidRPr="003B279B" w:rsidRDefault="002736BD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Review/update locator information </w:t>
            </w:r>
          </w:p>
        </w:tc>
        <w:tc>
          <w:tcPr>
            <w:tcW w:w="1170" w:type="dxa"/>
            <w:vAlign w:val="center"/>
          </w:tcPr>
          <w:p w:rsidR="002736BD" w:rsidRPr="003B279B" w:rsidRDefault="002736BD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2736BD" w:rsidRPr="003B279B" w:rsidRDefault="002736BD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36BD" w:rsidRPr="006239A9" w:rsidTr="00916456">
        <w:trPr>
          <w:trHeight w:val="417"/>
          <w:jc w:val="center"/>
        </w:trPr>
        <w:tc>
          <w:tcPr>
            <w:tcW w:w="440" w:type="dxa"/>
            <w:noWrap/>
          </w:tcPr>
          <w:p w:rsidR="002736BD" w:rsidRDefault="00430ACB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670" w:type="dxa"/>
          </w:tcPr>
          <w:p w:rsidR="002736BD" w:rsidRDefault="002736BD" w:rsidP="00C11B52">
            <w:pPr>
              <w:spacing w:after="0" w:line="240" w:lineRule="auto"/>
            </w:pPr>
            <w:r>
              <w:t>Collect used applicators; collect unused study product if any</w:t>
            </w:r>
          </w:p>
          <w:p w:rsidR="00F9332B" w:rsidRPr="003B279B" w:rsidRDefault="00F9332B" w:rsidP="00C11B5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Update</w:t>
            </w:r>
            <w:r w:rsidRPr="00DC5468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Study Product Accountability CRF from previous visit</w:t>
            </w:r>
            <w:r w:rsidRPr="00DC5468">
              <w:rPr>
                <w:rFonts w:cs="Calibri"/>
                <w:color w:val="000000"/>
              </w:rPr>
              <w:t>.</w:t>
            </w:r>
          </w:p>
        </w:tc>
        <w:tc>
          <w:tcPr>
            <w:tcW w:w="1170" w:type="dxa"/>
            <w:vAlign w:val="center"/>
          </w:tcPr>
          <w:p w:rsidR="002736BD" w:rsidRDefault="002736BD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2736BD" w:rsidRPr="003B279B" w:rsidRDefault="002736BD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</w:t>
            </w:r>
          </w:p>
        </w:tc>
      </w:tr>
      <w:tr w:rsidR="002736BD" w:rsidRPr="006239A9" w:rsidTr="00916456">
        <w:trPr>
          <w:trHeight w:val="417"/>
          <w:jc w:val="center"/>
        </w:trPr>
        <w:tc>
          <w:tcPr>
            <w:tcW w:w="440" w:type="dxa"/>
            <w:noWrap/>
          </w:tcPr>
          <w:p w:rsidR="002736BD" w:rsidRDefault="00430ACB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670" w:type="dxa"/>
          </w:tcPr>
          <w:p w:rsidR="002736BD" w:rsidRDefault="002736BD" w:rsidP="00430AC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Conduct CASI </w:t>
            </w:r>
            <w:r w:rsidR="00430ACB">
              <w:rPr>
                <w:rFonts w:cs="Calibri"/>
                <w:color w:val="000000"/>
              </w:rPr>
              <w:t>Exit</w:t>
            </w:r>
            <w:r>
              <w:rPr>
                <w:rFonts w:cs="Calibri"/>
                <w:color w:val="000000"/>
              </w:rPr>
              <w:t xml:space="preserve"> </w:t>
            </w:r>
            <w:r w:rsidR="00430ACB">
              <w:rPr>
                <w:rFonts w:cs="Calibri"/>
                <w:color w:val="000000"/>
              </w:rPr>
              <w:t>A</w:t>
            </w:r>
            <w:r>
              <w:rPr>
                <w:rFonts w:cs="Calibri"/>
                <w:color w:val="000000"/>
              </w:rPr>
              <w:t>cceptability assessment</w:t>
            </w:r>
            <w:r w:rsidR="00F9332B">
              <w:rPr>
                <w:rFonts w:cs="Calibri"/>
                <w:color w:val="000000"/>
              </w:rPr>
              <w:t>.</w:t>
            </w:r>
          </w:p>
          <w:p w:rsidR="00F9332B" w:rsidRPr="003B279B" w:rsidRDefault="00F9332B" w:rsidP="00430AC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Complete Study Exit CASI Tracking CRF.</w:t>
            </w:r>
          </w:p>
        </w:tc>
        <w:tc>
          <w:tcPr>
            <w:tcW w:w="1170" w:type="dxa"/>
            <w:vAlign w:val="center"/>
          </w:tcPr>
          <w:p w:rsidR="002736BD" w:rsidRDefault="002736BD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2736BD" w:rsidRPr="003B279B" w:rsidRDefault="002736BD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0ACB" w:rsidRPr="006239A9" w:rsidTr="00916456">
        <w:trPr>
          <w:trHeight w:val="417"/>
          <w:jc w:val="center"/>
        </w:trPr>
        <w:tc>
          <w:tcPr>
            <w:tcW w:w="440" w:type="dxa"/>
            <w:noWrap/>
          </w:tcPr>
          <w:p w:rsidR="00430ACB" w:rsidRDefault="00430ACB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6670" w:type="dxa"/>
          </w:tcPr>
          <w:p w:rsidR="00430ACB" w:rsidRDefault="00430ACB" w:rsidP="00430AC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Conduct CASI Behavioral Questionnaire (women only)</w:t>
            </w:r>
          </w:p>
        </w:tc>
        <w:tc>
          <w:tcPr>
            <w:tcW w:w="1170" w:type="dxa"/>
            <w:vAlign w:val="center"/>
          </w:tcPr>
          <w:p w:rsidR="00430ACB" w:rsidRDefault="00430ACB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430ACB" w:rsidRPr="003B279B" w:rsidRDefault="00430ACB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</w:t>
            </w:r>
          </w:p>
        </w:tc>
      </w:tr>
      <w:tr w:rsidR="002736BD" w:rsidRPr="006239A9" w:rsidTr="00916456">
        <w:trPr>
          <w:trHeight w:val="417"/>
          <w:jc w:val="center"/>
        </w:trPr>
        <w:tc>
          <w:tcPr>
            <w:tcW w:w="440" w:type="dxa"/>
            <w:noWrap/>
          </w:tcPr>
          <w:p w:rsidR="002736BD" w:rsidRPr="003B279B" w:rsidRDefault="00430ACB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6670" w:type="dxa"/>
          </w:tcPr>
          <w:p w:rsidR="002736BD" w:rsidRPr="003B279B" w:rsidRDefault="002736BD" w:rsidP="003977FE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Collect follow-up medical</w:t>
            </w:r>
            <w:r>
              <w:rPr>
                <w:rFonts w:cs="Calibri"/>
                <w:color w:val="000000"/>
              </w:rPr>
              <w:t>/medications</w:t>
            </w:r>
            <w:r w:rsidRPr="003B279B">
              <w:rPr>
                <w:rFonts w:cs="Calibri"/>
                <w:color w:val="000000"/>
              </w:rPr>
              <w:t xml:space="preserve"> history</w:t>
            </w:r>
            <w:r>
              <w:rPr>
                <w:rFonts w:cs="Calibri"/>
                <w:color w:val="000000"/>
              </w:rPr>
              <w:t xml:space="preserve">: review/update AE Log, and Concomitant Medications Log CRFs. </w:t>
            </w:r>
          </w:p>
        </w:tc>
        <w:tc>
          <w:tcPr>
            <w:tcW w:w="1170" w:type="dxa"/>
            <w:vAlign w:val="center"/>
          </w:tcPr>
          <w:p w:rsidR="002736BD" w:rsidRPr="003B279B" w:rsidRDefault="002736BD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2736BD" w:rsidRPr="003B279B" w:rsidRDefault="002736BD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36BD" w:rsidRPr="006239A9" w:rsidTr="00916456">
        <w:trPr>
          <w:trHeight w:val="390"/>
          <w:jc w:val="center"/>
        </w:trPr>
        <w:tc>
          <w:tcPr>
            <w:tcW w:w="440" w:type="dxa"/>
            <w:noWrap/>
          </w:tcPr>
          <w:p w:rsidR="002736BD" w:rsidRPr="003B279B" w:rsidRDefault="00430ACB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6670" w:type="dxa"/>
          </w:tcPr>
          <w:p w:rsidR="002736BD" w:rsidRDefault="002736BD" w:rsidP="003977F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and document counseling:</w:t>
            </w:r>
          </w:p>
          <w:p w:rsidR="002736BD" w:rsidRPr="002B2D61" w:rsidRDefault="002736BD" w:rsidP="003977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HIV pre-test counseling</w:t>
            </w:r>
          </w:p>
          <w:p w:rsidR="002736BD" w:rsidRPr="002B2D61" w:rsidRDefault="002736BD" w:rsidP="003977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HIV/STI risk reduction counseling</w:t>
            </w:r>
          </w:p>
          <w:p w:rsidR="002736BD" w:rsidRDefault="002736BD" w:rsidP="003977F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736BD" w:rsidRDefault="002736BD" w:rsidP="00D63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2736BD" w:rsidRPr="002C70C5" w:rsidRDefault="002736BD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36BD" w:rsidRPr="006239A9" w:rsidTr="00916456">
        <w:trPr>
          <w:trHeight w:val="390"/>
          <w:jc w:val="center"/>
        </w:trPr>
        <w:tc>
          <w:tcPr>
            <w:tcW w:w="440" w:type="dxa"/>
            <w:noWrap/>
          </w:tcPr>
          <w:p w:rsidR="002736BD" w:rsidRPr="003B279B" w:rsidRDefault="00430ACB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6670" w:type="dxa"/>
          </w:tcPr>
          <w:p w:rsidR="002736BD" w:rsidRDefault="002736BD" w:rsidP="00B02D3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Collect </w:t>
            </w:r>
            <w:r w:rsidR="00B02D33"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</w:rPr>
              <w:t xml:space="preserve"> mL blood and p</w:t>
            </w:r>
            <w:r w:rsidRPr="003B279B">
              <w:rPr>
                <w:rFonts w:cs="Calibri"/>
                <w:color w:val="000000"/>
              </w:rPr>
              <w:t xml:space="preserve">erform and document </w:t>
            </w:r>
            <w:r>
              <w:rPr>
                <w:rFonts w:cs="Calibri"/>
                <w:color w:val="000000"/>
              </w:rPr>
              <w:t>HIV testing.</w:t>
            </w:r>
            <w:r w:rsidRPr="00E83C62">
              <w:rPr>
                <w:rFonts w:cs="Calibri"/>
                <w:i/>
                <w:color w:val="00000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2736BD" w:rsidRDefault="002736BD" w:rsidP="00D63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2736BD" w:rsidRPr="002C70C5" w:rsidRDefault="002736BD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36BD" w:rsidRPr="006239A9" w:rsidTr="00916456">
        <w:trPr>
          <w:trHeight w:val="390"/>
          <w:jc w:val="center"/>
        </w:trPr>
        <w:tc>
          <w:tcPr>
            <w:tcW w:w="440" w:type="dxa"/>
            <w:noWrap/>
          </w:tcPr>
          <w:p w:rsidR="002736BD" w:rsidRPr="003B279B" w:rsidRDefault="00430ACB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6670" w:type="dxa"/>
          </w:tcPr>
          <w:p w:rsidR="002736BD" w:rsidRDefault="00B02D33" w:rsidP="00B02D3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Collect 10 mL</w:t>
            </w:r>
            <w:r w:rsidR="002736BD">
              <w:rPr>
                <w:rFonts w:cs="Calibri"/>
                <w:color w:val="000000"/>
              </w:rPr>
              <w:t xml:space="preserve"> blood for </w:t>
            </w:r>
            <w:proofErr w:type="spellStart"/>
            <w:r w:rsidR="002736BD">
              <w:t>pK</w:t>
            </w:r>
            <w:r>
              <w:t>.</w:t>
            </w:r>
            <w:proofErr w:type="spellEnd"/>
          </w:p>
        </w:tc>
        <w:tc>
          <w:tcPr>
            <w:tcW w:w="1170" w:type="dxa"/>
            <w:vAlign w:val="center"/>
          </w:tcPr>
          <w:p w:rsidR="002736BD" w:rsidRDefault="002736BD" w:rsidP="00D63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2736BD" w:rsidRPr="002C70C5" w:rsidRDefault="002736BD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</w:t>
            </w:r>
          </w:p>
        </w:tc>
      </w:tr>
      <w:tr w:rsidR="002736BD" w:rsidRPr="006239A9" w:rsidTr="00916456">
        <w:trPr>
          <w:trHeight w:val="606"/>
          <w:jc w:val="center"/>
        </w:trPr>
        <w:tc>
          <w:tcPr>
            <w:tcW w:w="440" w:type="dxa"/>
            <w:noWrap/>
          </w:tcPr>
          <w:p w:rsidR="002736BD" w:rsidRPr="003B279B" w:rsidRDefault="00430ACB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6670" w:type="dxa"/>
          </w:tcPr>
          <w:p w:rsidR="002736BD" w:rsidRPr="00F92C18" w:rsidRDefault="002736BD" w:rsidP="009B3778">
            <w:pPr>
              <w:spacing w:after="0" w:line="240" w:lineRule="auto"/>
              <w:rPr>
                <w:rFonts w:cs="Calibri"/>
                <w:color w:val="000000"/>
              </w:rPr>
            </w:pPr>
            <w:r w:rsidRPr="00F92C18">
              <w:t>Collect urine (15-60 mL) and send to lab for urine hCG (FEMALE ONLY).  If indicated, NAAT for GC/CT and urine culture</w:t>
            </w:r>
          </w:p>
        </w:tc>
        <w:tc>
          <w:tcPr>
            <w:tcW w:w="1170" w:type="dxa"/>
            <w:vAlign w:val="center"/>
          </w:tcPr>
          <w:p w:rsidR="002736BD" w:rsidRPr="003E1CF8" w:rsidRDefault="002736BD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2736BD" w:rsidRPr="003E1CF8" w:rsidRDefault="002736BD" w:rsidP="00DA0F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36BD" w:rsidRPr="006239A9" w:rsidTr="00916456">
        <w:trPr>
          <w:trHeight w:val="642"/>
          <w:jc w:val="center"/>
        </w:trPr>
        <w:tc>
          <w:tcPr>
            <w:tcW w:w="440" w:type="dxa"/>
            <w:noWrap/>
          </w:tcPr>
          <w:p w:rsidR="002736BD" w:rsidRPr="003B279B" w:rsidRDefault="00430ACB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6670" w:type="dxa"/>
          </w:tcPr>
          <w:p w:rsidR="002736BD" w:rsidRPr="00F92C18" w:rsidRDefault="002736BD" w:rsidP="00142C11">
            <w:pPr>
              <w:spacing w:after="0" w:line="240" w:lineRule="auto"/>
              <w:rPr>
                <w:rFonts w:cs="Calibri"/>
                <w:color w:val="000000"/>
              </w:rPr>
            </w:pPr>
            <w:r w:rsidRPr="00F92C18">
              <w:rPr>
                <w:rFonts w:cs="Calibri"/>
                <w:color w:val="000000"/>
              </w:rPr>
              <w:t>Perform and document modified physical exam. Complete Physical Exam CRF</w:t>
            </w:r>
            <w:r w:rsidR="00F9332B" w:rsidRPr="00F92C18">
              <w:t xml:space="preserve"> </w:t>
            </w:r>
            <w:r w:rsidR="00F9332B" w:rsidRPr="00F92C18">
              <w:rPr>
                <w:rFonts w:cs="Calibri"/>
                <w:color w:val="000000"/>
              </w:rPr>
              <w:t>for female participants and Physical Exam – Male form (non-DataFax) for male participants</w:t>
            </w:r>
            <w:r w:rsidRPr="00F92C18">
              <w:rPr>
                <w:rFonts w:cs="Calibri"/>
                <w:color w:val="000000"/>
              </w:rPr>
              <w:t>.</w:t>
            </w:r>
          </w:p>
        </w:tc>
        <w:tc>
          <w:tcPr>
            <w:tcW w:w="1170" w:type="dxa"/>
            <w:vAlign w:val="center"/>
          </w:tcPr>
          <w:p w:rsidR="002736BD" w:rsidRPr="003B279B" w:rsidRDefault="002736BD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2736BD" w:rsidRPr="003B279B" w:rsidRDefault="002736BD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36BD" w:rsidRPr="006239A9" w:rsidTr="00916456">
        <w:trPr>
          <w:trHeight w:val="642"/>
          <w:jc w:val="center"/>
        </w:trPr>
        <w:tc>
          <w:tcPr>
            <w:tcW w:w="440" w:type="dxa"/>
            <w:noWrap/>
          </w:tcPr>
          <w:p w:rsidR="002736BD" w:rsidRPr="003B279B" w:rsidRDefault="00430ACB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6670" w:type="dxa"/>
          </w:tcPr>
          <w:p w:rsidR="002736BD" w:rsidRPr="00F92C18" w:rsidRDefault="002736BD" w:rsidP="00142C11">
            <w:pPr>
              <w:spacing w:after="0" w:line="240" w:lineRule="auto"/>
              <w:rPr>
                <w:rFonts w:cs="Calibri"/>
                <w:color w:val="000000"/>
              </w:rPr>
            </w:pPr>
            <w:r w:rsidRPr="00F92C18">
              <w:rPr>
                <w:rFonts w:cs="Calibri"/>
                <w:color w:val="000000"/>
              </w:rPr>
              <w:t>Perform and document pelvic exam per Pelvic Exam Checklist (FEMALE ONLY)</w:t>
            </w:r>
            <w:r w:rsidR="00F9332B" w:rsidRPr="00F92C18">
              <w:rPr>
                <w:rFonts w:cs="Calibri"/>
                <w:color w:val="000000"/>
              </w:rPr>
              <w:t xml:space="preserve"> </w:t>
            </w:r>
            <w:r w:rsidR="00F9332B" w:rsidRPr="00F92C18">
              <w:t>Complete a new Pelvic Exam Diagrams and Pelvic Exam CRF</w:t>
            </w:r>
          </w:p>
          <w:p w:rsidR="002736BD" w:rsidRPr="00F92C18" w:rsidRDefault="002736BD" w:rsidP="00A86971">
            <w:pPr>
              <w:spacing w:after="0" w:line="240" w:lineRule="auto"/>
            </w:pPr>
          </w:p>
          <w:p w:rsidR="002736BD" w:rsidRPr="00F92C18" w:rsidRDefault="002736BD" w:rsidP="00A86971">
            <w:pPr>
              <w:spacing w:after="0" w:line="240" w:lineRule="auto"/>
            </w:pPr>
            <w:r w:rsidRPr="00F92C18">
              <w:t xml:space="preserve">      hr           min</w:t>
            </w:r>
          </w:p>
          <w:p w:rsidR="002736BD" w:rsidRPr="00F92C18" w:rsidRDefault="002736BD" w:rsidP="00A86971">
            <w:pPr>
              <w:spacing w:after="0" w:line="240" w:lineRule="auto"/>
            </w:pPr>
          </w:p>
          <w:p w:rsidR="002736BD" w:rsidRPr="00F92C18" w:rsidRDefault="002736BD" w:rsidP="00A86971">
            <w:pPr>
              <w:spacing w:after="0" w:line="240" w:lineRule="auto"/>
            </w:pPr>
            <w:r w:rsidRPr="00F92C18">
              <w:t xml:space="preserve">_______:  _______   </w:t>
            </w:r>
          </w:p>
          <w:p w:rsidR="002736BD" w:rsidRPr="00F92C18" w:rsidRDefault="002736BD" w:rsidP="00A86971">
            <w:pPr>
              <w:spacing w:after="0" w:line="240" w:lineRule="auto"/>
            </w:pPr>
          </w:p>
          <w:p w:rsidR="002736BD" w:rsidRPr="00F92C18" w:rsidRDefault="002736BD" w:rsidP="00A86971">
            <w:pPr>
              <w:spacing w:after="0" w:line="240" w:lineRule="auto"/>
            </w:pPr>
            <w:r w:rsidRPr="00F92C18">
              <w:t>Note: Sampling for Visit 9 should occur at similar time point to Visit 7b.</w:t>
            </w:r>
          </w:p>
          <w:p w:rsidR="002736BD" w:rsidRPr="00F92C18" w:rsidRDefault="002736BD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736BD" w:rsidRPr="003B279B" w:rsidRDefault="002736BD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2736BD" w:rsidRPr="003B279B" w:rsidRDefault="002736BD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</w:t>
            </w:r>
          </w:p>
        </w:tc>
      </w:tr>
      <w:tr w:rsidR="002736BD" w:rsidRPr="006239A9" w:rsidTr="00916456">
        <w:trPr>
          <w:trHeight w:val="642"/>
          <w:jc w:val="center"/>
        </w:trPr>
        <w:tc>
          <w:tcPr>
            <w:tcW w:w="440" w:type="dxa"/>
            <w:noWrap/>
          </w:tcPr>
          <w:p w:rsidR="002736BD" w:rsidRDefault="00430ACB" w:rsidP="00142C1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6670" w:type="dxa"/>
          </w:tcPr>
          <w:p w:rsidR="002736BD" w:rsidRDefault="002736BD" w:rsidP="009B37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Pr="003B279B">
              <w:rPr>
                <w:rFonts w:cs="Calibri"/>
                <w:color w:val="000000"/>
              </w:rPr>
              <w:t xml:space="preserve">erform and document </w:t>
            </w:r>
            <w:r>
              <w:rPr>
                <w:rFonts w:cs="Calibri"/>
                <w:color w:val="000000"/>
              </w:rPr>
              <w:t>genital</w:t>
            </w:r>
            <w:r w:rsidRPr="003B279B">
              <w:rPr>
                <w:rFonts w:cs="Calibri"/>
                <w:color w:val="000000"/>
              </w:rPr>
              <w:t xml:space="preserve"> exam</w:t>
            </w:r>
            <w:r>
              <w:rPr>
                <w:rFonts w:cs="Calibri"/>
                <w:color w:val="000000"/>
              </w:rPr>
              <w:t xml:space="preserve"> (MALE ONLY):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  <w:p w:rsidR="00F9332B" w:rsidRPr="00DC5468" w:rsidRDefault="00F9332B" w:rsidP="00F9332B">
            <w:pPr>
              <w:spacing w:after="0" w:line="240" w:lineRule="auto"/>
              <w:rPr>
                <w:rFonts w:cs="Calibri"/>
                <w:color w:val="000000"/>
              </w:rPr>
            </w:pPr>
            <w:r w:rsidRPr="00DC5468">
              <w:rPr>
                <w:rFonts w:cs="Calibri"/>
                <w:color w:val="000000"/>
              </w:rPr>
              <w:t>Complete Genital Exam form (non-DataFax).</w:t>
            </w:r>
          </w:p>
          <w:p w:rsidR="002736BD" w:rsidRDefault="002736BD" w:rsidP="009B3778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2736BD" w:rsidRDefault="002736BD" w:rsidP="009B37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General inspection via naked eye and if necessary, hand=held magnifying glass of the following:</w:t>
            </w:r>
          </w:p>
          <w:p w:rsidR="00F92C18" w:rsidRDefault="00F92C18" w:rsidP="00F92C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Internal and external foreskin (if present)</w:t>
            </w:r>
          </w:p>
          <w:p w:rsidR="00F92C18" w:rsidRDefault="00F92C18" w:rsidP="00F92C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Entire penile surface</w:t>
            </w:r>
          </w:p>
          <w:p w:rsidR="00F92C18" w:rsidRDefault="00F92C18" w:rsidP="00F92C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Shaft</w:t>
            </w:r>
          </w:p>
          <w:p w:rsidR="00F92C18" w:rsidRDefault="00F92C18" w:rsidP="00F92C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Glans</w:t>
            </w:r>
          </w:p>
          <w:p w:rsidR="00F92C18" w:rsidRDefault="00F92C18" w:rsidP="00F92C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Urethral meatus</w:t>
            </w:r>
          </w:p>
          <w:p w:rsidR="00F92C18" w:rsidRDefault="00F92C18" w:rsidP="00F92C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Scrotum</w:t>
            </w:r>
          </w:p>
          <w:p w:rsidR="002736BD" w:rsidRPr="009B3778" w:rsidRDefault="00F92C18" w:rsidP="00F92C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Inguinal lymph nodes (right and left)</w:t>
            </w:r>
          </w:p>
        </w:tc>
        <w:tc>
          <w:tcPr>
            <w:tcW w:w="1170" w:type="dxa"/>
            <w:vAlign w:val="center"/>
          </w:tcPr>
          <w:p w:rsidR="002736BD" w:rsidRPr="003B279B" w:rsidRDefault="002736BD" w:rsidP="00142C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NA</w:t>
            </w:r>
          </w:p>
        </w:tc>
        <w:tc>
          <w:tcPr>
            <w:tcW w:w="900" w:type="dxa"/>
          </w:tcPr>
          <w:p w:rsidR="002736BD" w:rsidRPr="003B279B" w:rsidRDefault="002736BD" w:rsidP="00142C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36BD" w:rsidRPr="006239A9" w:rsidTr="00916456">
        <w:trPr>
          <w:trHeight w:val="435"/>
          <w:jc w:val="center"/>
        </w:trPr>
        <w:tc>
          <w:tcPr>
            <w:tcW w:w="440" w:type="dxa"/>
            <w:noWrap/>
          </w:tcPr>
          <w:p w:rsidR="002736BD" w:rsidRPr="003B279B" w:rsidRDefault="00430ACB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16</w:t>
            </w:r>
          </w:p>
        </w:tc>
        <w:tc>
          <w:tcPr>
            <w:tcW w:w="6670" w:type="dxa"/>
          </w:tcPr>
          <w:p w:rsidR="002736BD" w:rsidRPr="003B279B" w:rsidRDefault="002736BD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If STI/RTI/UTI is diagnosed, provide treatment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170" w:type="dxa"/>
            <w:vAlign w:val="center"/>
          </w:tcPr>
          <w:p w:rsidR="002736BD" w:rsidRPr="003B279B" w:rsidRDefault="002736BD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2736BD" w:rsidRPr="003B279B" w:rsidRDefault="002736BD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36BD" w:rsidRPr="006239A9" w:rsidTr="00916456">
        <w:trPr>
          <w:trHeight w:val="435"/>
          <w:jc w:val="center"/>
        </w:trPr>
        <w:tc>
          <w:tcPr>
            <w:tcW w:w="440" w:type="dxa"/>
            <w:noWrap/>
          </w:tcPr>
          <w:p w:rsidR="002736BD" w:rsidRPr="003B279B" w:rsidRDefault="00430ACB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6670" w:type="dxa"/>
          </w:tcPr>
          <w:p w:rsidR="002736BD" w:rsidRPr="003B279B" w:rsidRDefault="002736BD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and explain all available findings and results.  Refer for findings as indicated.</w:t>
            </w:r>
          </w:p>
        </w:tc>
        <w:tc>
          <w:tcPr>
            <w:tcW w:w="1170" w:type="dxa"/>
            <w:vAlign w:val="center"/>
          </w:tcPr>
          <w:p w:rsidR="002736BD" w:rsidRPr="003B279B" w:rsidRDefault="002736BD" w:rsidP="00882EB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2736BD" w:rsidRPr="003B279B" w:rsidRDefault="002736BD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36BD" w:rsidRPr="006239A9" w:rsidTr="00916456">
        <w:trPr>
          <w:trHeight w:val="462"/>
          <w:jc w:val="center"/>
        </w:trPr>
        <w:tc>
          <w:tcPr>
            <w:tcW w:w="440" w:type="dxa"/>
            <w:noWrap/>
          </w:tcPr>
          <w:p w:rsidR="002736BD" w:rsidRDefault="00430ACB" w:rsidP="00142C11">
            <w:pPr>
              <w:spacing w:after="0" w:line="240" w:lineRule="auto"/>
            </w:pPr>
            <w:r>
              <w:t>18</w:t>
            </w:r>
          </w:p>
        </w:tc>
        <w:tc>
          <w:tcPr>
            <w:tcW w:w="6670" w:type="dxa"/>
          </w:tcPr>
          <w:p w:rsidR="002736BD" w:rsidRDefault="002736BD" w:rsidP="00142C11">
            <w:pPr>
              <w:spacing w:after="0" w:line="240" w:lineRule="auto"/>
            </w:pPr>
            <w:r>
              <w:t>Document and report Adverse Events per site SOP</w:t>
            </w:r>
          </w:p>
        </w:tc>
        <w:tc>
          <w:tcPr>
            <w:tcW w:w="1170" w:type="dxa"/>
          </w:tcPr>
          <w:p w:rsidR="002736BD" w:rsidRDefault="002736BD" w:rsidP="004711E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2736BD" w:rsidRPr="003F7805" w:rsidRDefault="002736BD" w:rsidP="00142C11">
            <w:pPr>
              <w:spacing w:after="0" w:line="240" w:lineRule="auto"/>
            </w:pPr>
          </w:p>
        </w:tc>
      </w:tr>
      <w:tr w:rsidR="002736BD" w:rsidRPr="006239A9" w:rsidTr="00916456">
        <w:trPr>
          <w:trHeight w:val="435"/>
          <w:jc w:val="center"/>
        </w:trPr>
        <w:tc>
          <w:tcPr>
            <w:tcW w:w="440" w:type="dxa"/>
            <w:noWrap/>
          </w:tcPr>
          <w:p w:rsidR="002736BD" w:rsidRDefault="00430ACB" w:rsidP="00142C11">
            <w:pPr>
              <w:spacing w:after="0" w:line="240" w:lineRule="auto"/>
            </w:pPr>
            <w:r>
              <w:t>19</w:t>
            </w:r>
          </w:p>
        </w:tc>
        <w:tc>
          <w:tcPr>
            <w:tcW w:w="6670" w:type="dxa"/>
          </w:tcPr>
          <w:p w:rsidR="002736BD" w:rsidRDefault="002736BD" w:rsidP="003977FE">
            <w:pPr>
              <w:spacing w:after="0" w:line="240" w:lineRule="auto"/>
            </w:pPr>
            <w:r>
              <w:t xml:space="preserve">Provide contact information </w:t>
            </w:r>
          </w:p>
        </w:tc>
        <w:tc>
          <w:tcPr>
            <w:tcW w:w="1170" w:type="dxa"/>
          </w:tcPr>
          <w:p w:rsidR="002736BD" w:rsidRDefault="002736BD" w:rsidP="00B147E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:rsidR="002736BD" w:rsidRPr="003F7805" w:rsidRDefault="002736BD" w:rsidP="00142C11">
            <w:pPr>
              <w:spacing w:after="0" w:line="240" w:lineRule="auto"/>
            </w:pPr>
          </w:p>
        </w:tc>
      </w:tr>
      <w:tr w:rsidR="002736BD" w:rsidRPr="006239A9" w:rsidTr="00916456">
        <w:trPr>
          <w:trHeight w:val="710"/>
          <w:jc w:val="center"/>
        </w:trPr>
        <w:tc>
          <w:tcPr>
            <w:tcW w:w="440" w:type="dxa"/>
            <w:noWrap/>
          </w:tcPr>
          <w:p w:rsidR="002736BD" w:rsidRPr="003F7805" w:rsidRDefault="00430ACB" w:rsidP="00142C11">
            <w:pPr>
              <w:spacing w:after="0" w:line="240" w:lineRule="auto"/>
            </w:pPr>
            <w:r>
              <w:t>20</w:t>
            </w:r>
          </w:p>
        </w:tc>
        <w:tc>
          <w:tcPr>
            <w:tcW w:w="6670" w:type="dxa"/>
          </w:tcPr>
          <w:p w:rsidR="002736BD" w:rsidRPr="003F7805" w:rsidRDefault="002736BD" w:rsidP="00142C11">
            <w:pPr>
              <w:spacing w:after="0" w:line="240" w:lineRule="auto"/>
            </w:pPr>
            <w:r w:rsidRPr="003F7805">
              <w:t>Schedule</w:t>
            </w:r>
            <w:r>
              <w:t xml:space="preserve"> next</w:t>
            </w:r>
            <w:r w:rsidRPr="003F7805">
              <w:t xml:space="preserve"> visit</w:t>
            </w:r>
            <w:r>
              <w:t>,</w:t>
            </w:r>
            <w:r w:rsidRPr="003F7805">
              <w:t xml:space="preserve"> </w:t>
            </w:r>
            <w:r>
              <w:t>if applicable to provide final laboratory test results</w:t>
            </w:r>
          </w:p>
        </w:tc>
        <w:tc>
          <w:tcPr>
            <w:tcW w:w="1170" w:type="dxa"/>
          </w:tcPr>
          <w:p w:rsidR="002736BD" w:rsidRPr="003F7805" w:rsidRDefault="002736BD" w:rsidP="00B147EA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736BD" w:rsidRPr="003F7805" w:rsidRDefault="002736BD" w:rsidP="00142C11">
            <w:pPr>
              <w:spacing w:after="0" w:line="240" w:lineRule="auto"/>
            </w:pPr>
          </w:p>
        </w:tc>
      </w:tr>
      <w:tr w:rsidR="002736BD" w:rsidRPr="006239A9" w:rsidTr="00916456">
        <w:trPr>
          <w:trHeight w:val="440"/>
          <w:jc w:val="center"/>
        </w:trPr>
        <w:tc>
          <w:tcPr>
            <w:tcW w:w="440" w:type="dxa"/>
            <w:noWrap/>
          </w:tcPr>
          <w:p w:rsidR="002736BD" w:rsidRPr="003F7805" w:rsidRDefault="00430ACB" w:rsidP="00142C11">
            <w:pPr>
              <w:spacing w:after="0" w:line="240" w:lineRule="auto"/>
            </w:pPr>
            <w:r>
              <w:t>21</w:t>
            </w:r>
          </w:p>
        </w:tc>
        <w:tc>
          <w:tcPr>
            <w:tcW w:w="6670" w:type="dxa"/>
          </w:tcPr>
          <w:p w:rsidR="002736BD" w:rsidRPr="003F7805" w:rsidRDefault="002736BD" w:rsidP="00142C11">
            <w:pPr>
              <w:spacing w:after="0" w:line="240" w:lineRule="auto"/>
            </w:pPr>
            <w:r w:rsidRPr="003F7805">
              <w:t>Provide reimbursement</w:t>
            </w:r>
          </w:p>
        </w:tc>
        <w:tc>
          <w:tcPr>
            <w:tcW w:w="1170" w:type="dxa"/>
          </w:tcPr>
          <w:p w:rsidR="002736BD" w:rsidRPr="003F7805" w:rsidRDefault="002736BD" w:rsidP="00B147EA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736BD" w:rsidRPr="003F7805" w:rsidRDefault="002736BD" w:rsidP="00142C11">
            <w:pPr>
              <w:spacing w:after="0" w:line="240" w:lineRule="auto"/>
            </w:pPr>
          </w:p>
        </w:tc>
      </w:tr>
      <w:tr w:rsidR="002736BD" w:rsidRPr="006239A9" w:rsidTr="00916456">
        <w:trPr>
          <w:trHeight w:val="440"/>
          <w:jc w:val="center"/>
        </w:trPr>
        <w:tc>
          <w:tcPr>
            <w:tcW w:w="440" w:type="dxa"/>
            <w:tcBorders>
              <w:bottom w:val="single" w:sz="4" w:space="0" w:color="auto"/>
            </w:tcBorders>
            <w:noWrap/>
          </w:tcPr>
          <w:p w:rsidR="002736BD" w:rsidRPr="003F7805" w:rsidRDefault="00430ACB" w:rsidP="00142C11">
            <w:pPr>
              <w:spacing w:after="0" w:line="240" w:lineRule="auto"/>
            </w:pPr>
            <w:r>
              <w:t>22</w:t>
            </w:r>
          </w:p>
        </w:tc>
        <w:tc>
          <w:tcPr>
            <w:tcW w:w="6670" w:type="dxa"/>
            <w:tcBorders>
              <w:bottom w:val="single" w:sz="4" w:space="0" w:color="auto"/>
            </w:tcBorders>
          </w:tcPr>
          <w:p w:rsidR="002736BD" w:rsidRDefault="002736BD" w:rsidP="00D630D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Review and f</w:t>
            </w:r>
            <w:r w:rsidRPr="003B279B">
              <w:rPr>
                <w:rFonts w:cs="Calibri"/>
                <w:color w:val="000000"/>
              </w:rPr>
              <w:t>ax all required D</w:t>
            </w:r>
            <w:r>
              <w:rPr>
                <w:rFonts w:cs="Calibri"/>
                <w:color w:val="000000"/>
              </w:rPr>
              <w:t>ataFax forms to SCHARP DataFax.</w:t>
            </w:r>
          </w:p>
          <w:p w:rsidR="00F9332B" w:rsidRPr="00996794" w:rsidRDefault="00F9332B" w:rsidP="00F9332B">
            <w:pPr>
              <w:spacing w:after="0" w:line="240" w:lineRule="auto"/>
              <w:rPr>
                <w:b/>
              </w:rPr>
            </w:pPr>
            <w:r w:rsidRPr="00710487">
              <w:rPr>
                <w:b/>
              </w:rPr>
              <w:t>Visit</w:t>
            </w:r>
            <w:r>
              <w:rPr>
                <w:b/>
              </w:rPr>
              <w:t xml:space="preserve"> 9</w:t>
            </w:r>
            <w:r w:rsidRPr="00710487">
              <w:rPr>
                <w:b/>
              </w:rPr>
              <w:t>:</w:t>
            </w:r>
          </w:p>
          <w:p w:rsidR="00493C1C" w:rsidRPr="00137E50" w:rsidRDefault="00493C1C" w:rsidP="00493C1C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bookmarkStart w:id="0" w:name="_GoBack"/>
            <w:r>
              <w:t>Visit Summary</w:t>
            </w:r>
          </w:p>
          <w:bookmarkEnd w:id="0"/>
          <w:p w:rsidR="00493C1C" w:rsidRDefault="00493C1C" w:rsidP="00493C1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Physical Exam</w:t>
            </w:r>
          </w:p>
          <w:p w:rsidR="00493C1C" w:rsidRDefault="00493C1C" w:rsidP="00493C1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</w:t>
            </w:r>
          </w:p>
          <w:p w:rsidR="00493C1C" w:rsidRDefault="00493C1C" w:rsidP="00493C1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STI Test Results                                                                                                                                        </w:t>
            </w:r>
          </w:p>
          <w:p w:rsidR="00493C1C" w:rsidRDefault="00493C1C" w:rsidP="00493C1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Pharmacokinetics</w:t>
            </w:r>
          </w:p>
          <w:p w:rsidR="00493C1C" w:rsidRDefault="00493C1C" w:rsidP="00493C1C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Laboratory Results</w:t>
            </w:r>
          </w:p>
          <w:p w:rsidR="00493C1C" w:rsidRDefault="00493C1C" w:rsidP="00493C1C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Group 2 – Participant-reported Dosing</w:t>
            </w:r>
          </w:p>
          <w:p w:rsidR="00493C1C" w:rsidRDefault="00493C1C" w:rsidP="00493C1C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Study Exit CASI Tracking</w:t>
            </w:r>
          </w:p>
          <w:p w:rsidR="00493C1C" w:rsidRDefault="00493C1C" w:rsidP="00493C1C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End of Study Inventory</w:t>
            </w:r>
          </w:p>
          <w:p w:rsidR="00493C1C" w:rsidRDefault="00493C1C" w:rsidP="00493C1C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Termination (for male and female participants)</w:t>
            </w:r>
          </w:p>
          <w:p w:rsidR="00F9332B" w:rsidRDefault="00F9332B" w:rsidP="00493C1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9332B">
              <w:rPr>
                <w:rFonts w:cs="Calibri"/>
                <w:color w:val="000000"/>
              </w:rPr>
              <w:t xml:space="preserve">Pelvic Exam Diagrams </w:t>
            </w:r>
            <w:r w:rsidR="00493C1C">
              <w:rPr>
                <w:rFonts w:cs="Calibri"/>
                <w:color w:val="000000"/>
              </w:rPr>
              <w:t>(non-</w:t>
            </w:r>
            <w:proofErr w:type="spellStart"/>
            <w:r w:rsidR="00493C1C">
              <w:rPr>
                <w:rFonts w:cs="Calibri"/>
                <w:color w:val="000000"/>
              </w:rPr>
              <w:t>DataFax</w:t>
            </w:r>
            <w:proofErr w:type="spellEnd"/>
            <w:r w:rsidR="00493C1C">
              <w:rPr>
                <w:rFonts w:cs="Calibri"/>
                <w:color w:val="000000"/>
              </w:rPr>
              <w:t>)</w:t>
            </w:r>
          </w:p>
          <w:p w:rsidR="00493C1C" w:rsidRDefault="00493C1C" w:rsidP="00493C1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Genital Exam – Male (non-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  <w:p w:rsidR="00493C1C" w:rsidRPr="00F9332B" w:rsidRDefault="00493C1C" w:rsidP="00493C1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Physical Exam – Male (non-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  <w:p w:rsidR="00F9332B" w:rsidRPr="00306F41" w:rsidRDefault="00F9332B" w:rsidP="00493C1C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306F41">
              <w:rPr>
                <w:rFonts w:cs="Calibri"/>
                <w:color w:val="000000"/>
              </w:rPr>
              <w:t xml:space="preserve">LDMS Specimen Tracking Sheet (non-DataFax) </w:t>
            </w:r>
          </w:p>
          <w:p w:rsidR="002736BD" w:rsidRPr="003F7805" w:rsidRDefault="002736BD" w:rsidP="00142C11">
            <w:pPr>
              <w:spacing w:after="0" w:line="240" w:lineRule="auto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736BD" w:rsidRDefault="002736BD" w:rsidP="00B147E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736BD" w:rsidRPr="003F7805" w:rsidRDefault="002736BD" w:rsidP="00142C11">
            <w:pPr>
              <w:spacing w:after="0" w:line="240" w:lineRule="auto"/>
            </w:pPr>
          </w:p>
        </w:tc>
      </w:tr>
    </w:tbl>
    <w:p w:rsidR="002736BD" w:rsidRDefault="002736BD"/>
    <w:sectPr w:rsidR="002736BD" w:rsidSect="00655EA1">
      <w:headerReference w:type="default" r:id="rId9"/>
      <w:footerReference w:type="default" r:id="rId10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BF" w:rsidRDefault="00262EBF" w:rsidP="00664B51">
      <w:pPr>
        <w:spacing w:after="0" w:line="240" w:lineRule="auto"/>
      </w:pPr>
      <w:r>
        <w:separator/>
      </w:r>
    </w:p>
  </w:endnote>
  <w:endnote w:type="continuationSeparator" w:id="0">
    <w:p w:rsidR="00262EBF" w:rsidRDefault="00262EBF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BD" w:rsidRDefault="002736BD">
    <w:pPr>
      <w:pStyle w:val="Footer"/>
    </w:pPr>
    <w:r>
      <w:rPr>
        <w:sz w:val="18"/>
        <w:szCs w:val="18"/>
      </w:rPr>
      <w:t>MTN-011 Female and Male Final Visit Che</w:t>
    </w:r>
    <w:r w:rsidR="00430ACB">
      <w:rPr>
        <w:sz w:val="18"/>
        <w:szCs w:val="18"/>
      </w:rPr>
      <w:t>cklist (Group 2) – Version 1.0</w:t>
    </w:r>
    <w:r w:rsidR="00430ACB">
      <w:rPr>
        <w:sz w:val="18"/>
        <w:szCs w:val="18"/>
      </w:rPr>
      <w:tab/>
    </w:r>
    <w:r w:rsidR="00493C1C">
      <w:rPr>
        <w:sz w:val="18"/>
        <w:szCs w:val="18"/>
      </w:rPr>
      <w:t>14 August</w:t>
    </w:r>
    <w:r>
      <w:rPr>
        <w:sz w:val="18"/>
        <w:szCs w:val="18"/>
      </w:rPr>
      <w:t xml:space="preserve">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BF" w:rsidRDefault="00262EBF" w:rsidP="00664B51">
      <w:pPr>
        <w:spacing w:after="0" w:line="240" w:lineRule="auto"/>
      </w:pPr>
      <w:r>
        <w:separator/>
      </w:r>
    </w:p>
  </w:footnote>
  <w:footnote w:type="continuationSeparator" w:id="0">
    <w:p w:rsidR="00262EBF" w:rsidRDefault="00262EBF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BD" w:rsidRDefault="002736BD">
    <w:pPr>
      <w:pStyle w:val="Header"/>
      <w:tabs>
        <w:tab w:val="clear" w:pos="9360"/>
        <w:tab w:val="right" w:pos="9990"/>
      </w:tabs>
      <w:ind w:left="-630"/>
    </w:pPr>
    <w:r>
      <w:t>PTID: __ __ __- __ __ __ __ __- __</w:t>
    </w:r>
    <w:r>
      <w:tab/>
      <w:t xml:space="preserve">                               Date: ______________________</w:t>
    </w:r>
    <w:r>
      <w:tab/>
    </w:r>
    <w:proofErr w:type="spellStart"/>
    <w:r>
      <w:t>Visit</w:t>
    </w:r>
    <w:proofErr w:type="gramStart"/>
    <w:r>
      <w:t>:_</w:t>
    </w:r>
    <w:proofErr w:type="gramEnd"/>
    <w:r w:rsidRPr="003977FE">
      <w:rPr>
        <w:u w:val="single"/>
      </w:rPr>
      <w:t>Final</w:t>
    </w:r>
    <w:proofErr w:type="spellEnd"/>
    <w:r w:rsidRPr="003977FE">
      <w:rPr>
        <w:u w:val="single"/>
      </w:rPr>
      <w:t xml:space="preserve"> Visit (9)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72360"/>
    <w:multiLevelType w:val="hybridMultilevel"/>
    <w:tmpl w:val="A37EA6D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0"/>
  </w:num>
  <w:num w:numId="8">
    <w:abstractNumId w:val="4"/>
  </w:num>
  <w:num w:numId="9">
    <w:abstractNumId w:val="15"/>
  </w:num>
  <w:num w:numId="10">
    <w:abstractNumId w:val="3"/>
  </w:num>
  <w:num w:numId="11">
    <w:abstractNumId w:val="9"/>
  </w:num>
  <w:num w:numId="12">
    <w:abstractNumId w:val="5"/>
  </w:num>
  <w:num w:numId="13">
    <w:abstractNumId w:val="19"/>
  </w:num>
  <w:num w:numId="14">
    <w:abstractNumId w:val="20"/>
  </w:num>
  <w:num w:numId="15">
    <w:abstractNumId w:val="7"/>
  </w:num>
  <w:num w:numId="16">
    <w:abstractNumId w:val="16"/>
  </w:num>
  <w:num w:numId="17">
    <w:abstractNumId w:val="10"/>
  </w:num>
  <w:num w:numId="18">
    <w:abstractNumId w:val="1"/>
  </w:num>
  <w:num w:numId="19">
    <w:abstractNumId w:val="18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030B8"/>
    <w:rsid w:val="0002435A"/>
    <w:rsid w:val="000549F0"/>
    <w:rsid w:val="000664B4"/>
    <w:rsid w:val="00077179"/>
    <w:rsid w:val="00083FB7"/>
    <w:rsid w:val="000D6EA8"/>
    <w:rsid w:val="0011076F"/>
    <w:rsid w:val="00124E29"/>
    <w:rsid w:val="0013097B"/>
    <w:rsid w:val="00137675"/>
    <w:rsid w:val="00137BDD"/>
    <w:rsid w:val="001413F0"/>
    <w:rsid w:val="00142C11"/>
    <w:rsid w:val="00144DE2"/>
    <w:rsid w:val="0018382A"/>
    <w:rsid w:val="001A7608"/>
    <w:rsid w:val="001B2DA4"/>
    <w:rsid w:val="001B468C"/>
    <w:rsid w:val="001F5F6D"/>
    <w:rsid w:val="002104F5"/>
    <w:rsid w:val="00262EBF"/>
    <w:rsid w:val="002631C6"/>
    <w:rsid w:val="00270C3A"/>
    <w:rsid w:val="002736BD"/>
    <w:rsid w:val="002B2D61"/>
    <w:rsid w:val="002C4AC9"/>
    <w:rsid w:val="002C57E5"/>
    <w:rsid w:val="002C70C5"/>
    <w:rsid w:val="002E12C0"/>
    <w:rsid w:val="003374F9"/>
    <w:rsid w:val="00337617"/>
    <w:rsid w:val="00355945"/>
    <w:rsid w:val="00360B01"/>
    <w:rsid w:val="0038024C"/>
    <w:rsid w:val="003977FE"/>
    <w:rsid w:val="003B07A2"/>
    <w:rsid w:val="003B14D6"/>
    <w:rsid w:val="003B279B"/>
    <w:rsid w:val="003E1CF8"/>
    <w:rsid w:val="003E73D2"/>
    <w:rsid w:val="003F7805"/>
    <w:rsid w:val="004122BF"/>
    <w:rsid w:val="00426CA9"/>
    <w:rsid w:val="00430ACB"/>
    <w:rsid w:val="004507F4"/>
    <w:rsid w:val="00464756"/>
    <w:rsid w:val="004711E3"/>
    <w:rsid w:val="00493C1C"/>
    <w:rsid w:val="004A1A10"/>
    <w:rsid w:val="004A1A5C"/>
    <w:rsid w:val="004A4F56"/>
    <w:rsid w:val="004B0637"/>
    <w:rsid w:val="004B7E19"/>
    <w:rsid w:val="00502000"/>
    <w:rsid w:val="00525639"/>
    <w:rsid w:val="0056499E"/>
    <w:rsid w:val="00573EAE"/>
    <w:rsid w:val="00591274"/>
    <w:rsid w:val="005C7912"/>
    <w:rsid w:val="005D50AC"/>
    <w:rsid w:val="005E6BF0"/>
    <w:rsid w:val="005F42BA"/>
    <w:rsid w:val="00614389"/>
    <w:rsid w:val="006239A9"/>
    <w:rsid w:val="00635E7C"/>
    <w:rsid w:val="006530DF"/>
    <w:rsid w:val="00655EA1"/>
    <w:rsid w:val="00656FC6"/>
    <w:rsid w:val="006648F5"/>
    <w:rsid w:val="00664B51"/>
    <w:rsid w:val="006A3AD3"/>
    <w:rsid w:val="006D63E3"/>
    <w:rsid w:val="006D7263"/>
    <w:rsid w:val="006E12BE"/>
    <w:rsid w:val="006E3EE4"/>
    <w:rsid w:val="006F2544"/>
    <w:rsid w:val="00702091"/>
    <w:rsid w:val="00732F5C"/>
    <w:rsid w:val="00737EE3"/>
    <w:rsid w:val="00747EF7"/>
    <w:rsid w:val="007633F7"/>
    <w:rsid w:val="00771AD7"/>
    <w:rsid w:val="007B279C"/>
    <w:rsid w:val="007B46ED"/>
    <w:rsid w:val="007D53E7"/>
    <w:rsid w:val="008056D4"/>
    <w:rsid w:val="00827DFF"/>
    <w:rsid w:val="008332D0"/>
    <w:rsid w:val="0083763F"/>
    <w:rsid w:val="00850729"/>
    <w:rsid w:val="00865266"/>
    <w:rsid w:val="00882EB3"/>
    <w:rsid w:val="00884B9A"/>
    <w:rsid w:val="00884F24"/>
    <w:rsid w:val="008915C7"/>
    <w:rsid w:val="008917EB"/>
    <w:rsid w:val="008A636B"/>
    <w:rsid w:val="008A7F75"/>
    <w:rsid w:val="008B5294"/>
    <w:rsid w:val="008E5A13"/>
    <w:rsid w:val="008F6447"/>
    <w:rsid w:val="00916456"/>
    <w:rsid w:val="00943C97"/>
    <w:rsid w:val="00980382"/>
    <w:rsid w:val="00986660"/>
    <w:rsid w:val="009B3778"/>
    <w:rsid w:val="00A1439F"/>
    <w:rsid w:val="00A33D48"/>
    <w:rsid w:val="00A3401C"/>
    <w:rsid w:val="00A36E83"/>
    <w:rsid w:val="00A532FD"/>
    <w:rsid w:val="00A86971"/>
    <w:rsid w:val="00AF4393"/>
    <w:rsid w:val="00B02D33"/>
    <w:rsid w:val="00B02E4E"/>
    <w:rsid w:val="00B147EA"/>
    <w:rsid w:val="00B219B1"/>
    <w:rsid w:val="00B27601"/>
    <w:rsid w:val="00B31A72"/>
    <w:rsid w:val="00B52897"/>
    <w:rsid w:val="00B53D7F"/>
    <w:rsid w:val="00B64784"/>
    <w:rsid w:val="00B74C1B"/>
    <w:rsid w:val="00BA0F7A"/>
    <w:rsid w:val="00BA368C"/>
    <w:rsid w:val="00BA593C"/>
    <w:rsid w:val="00BB1CF0"/>
    <w:rsid w:val="00BB6292"/>
    <w:rsid w:val="00BD33FA"/>
    <w:rsid w:val="00BD55D7"/>
    <w:rsid w:val="00BF0870"/>
    <w:rsid w:val="00BF1F17"/>
    <w:rsid w:val="00C05A9A"/>
    <w:rsid w:val="00C11B52"/>
    <w:rsid w:val="00C13E03"/>
    <w:rsid w:val="00C36008"/>
    <w:rsid w:val="00C509BF"/>
    <w:rsid w:val="00C82721"/>
    <w:rsid w:val="00C942F6"/>
    <w:rsid w:val="00CA02D7"/>
    <w:rsid w:val="00CC0D42"/>
    <w:rsid w:val="00CD7E35"/>
    <w:rsid w:val="00D04F17"/>
    <w:rsid w:val="00D07155"/>
    <w:rsid w:val="00D342C2"/>
    <w:rsid w:val="00D630DB"/>
    <w:rsid w:val="00D75276"/>
    <w:rsid w:val="00D87AF3"/>
    <w:rsid w:val="00D94445"/>
    <w:rsid w:val="00DA0F23"/>
    <w:rsid w:val="00DA7D6C"/>
    <w:rsid w:val="00DB6AC3"/>
    <w:rsid w:val="00DC3C0D"/>
    <w:rsid w:val="00DC740D"/>
    <w:rsid w:val="00DE1653"/>
    <w:rsid w:val="00E14166"/>
    <w:rsid w:val="00E1610A"/>
    <w:rsid w:val="00E221CF"/>
    <w:rsid w:val="00E40E20"/>
    <w:rsid w:val="00E83C62"/>
    <w:rsid w:val="00E847CC"/>
    <w:rsid w:val="00EB1AA8"/>
    <w:rsid w:val="00EB460D"/>
    <w:rsid w:val="00EE77A7"/>
    <w:rsid w:val="00EF6B99"/>
    <w:rsid w:val="00F243BC"/>
    <w:rsid w:val="00F25859"/>
    <w:rsid w:val="00F328B8"/>
    <w:rsid w:val="00F43D6E"/>
    <w:rsid w:val="00F54AD9"/>
    <w:rsid w:val="00F54C05"/>
    <w:rsid w:val="00F62B45"/>
    <w:rsid w:val="00F63C92"/>
    <w:rsid w:val="00F92C18"/>
    <w:rsid w:val="00F9332B"/>
    <w:rsid w:val="00FA1B59"/>
    <w:rsid w:val="00FA407D"/>
    <w:rsid w:val="00FA462F"/>
    <w:rsid w:val="00FA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E542-FD7D-4FAE-8F91-4A28D157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 The “Required at visits” column indicates when the item is required during follow-up per-protocol</vt:lpstr>
    </vt:vector>
  </TitlesOfParts>
  <Company>FHI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The “Required at visits” column indicates when the item is required during follow-up per-protocol</dc:title>
  <dc:creator>Ashley Mayo (US - NC)</dc:creator>
  <cp:lastModifiedBy>Lisa Levy</cp:lastModifiedBy>
  <cp:revision>2</cp:revision>
  <dcterms:created xsi:type="dcterms:W3CDTF">2012-08-14T14:17:00Z</dcterms:created>
  <dcterms:modified xsi:type="dcterms:W3CDTF">2012-08-14T14:17:00Z</dcterms:modified>
</cp:coreProperties>
</file>