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C5" w:rsidRDefault="00FA11C5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The “Required at visits” column indicates when the item is required during follow-up per-protocol. Procedures do not have to be conducted in the order in which they appear in the checklist. When an item is performed, complete the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A11C5" w:rsidRDefault="00FA11C5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8828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7350"/>
        <w:gridCol w:w="992"/>
      </w:tblGrid>
      <w:tr w:rsidR="00FA11C5" w:rsidRPr="006239A9" w:rsidTr="004952F1">
        <w:trPr>
          <w:trHeight w:val="277"/>
          <w:tblHeader/>
          <w:jc w:val="center"/>
        </w:trPr>
        <w:tc>
          <w:tcPr>
            <w:tcW w:w="7836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A11C5" w:rsidRPr="00137BDD" w:rsidRDefault="00FA11C5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GROUP 2 MALE Follow-up </w:t>
            </w:r>
            <w:r w:rsidRPr="00137BDD">
              <w:rPr>
                <w:rFonts w:cs="Calibri"/>
                <w:b/>
                <w:color w:val="000000"/>
              </w:rPr>
              <w:t>Procedure</w:t>
            </w:r>
            <w:r>
              <w:rPr>
                <w:rFonts w:cs="Calibri"/>
                <w:b/>
                <w:color w:val="000000"/>
              </w:rPr>
              <w:t xml:space="preserve">s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FA11C5" w:rsidRPr="00702091" w:rsidRDefault="00FA11C5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</w:tr>
      <w:tr w:rsidR="00FA11C5" w:rsidRPr="006239A9" w:rsidTr="004952F1">
        <w:trPr>
          <w:trHeight w:val="277"/>
          <w:tblHeader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</w:tcBorders>
            <w:shd w:val="clear" w:color="auto" w:fill="8DB3E2"/>
            <w:noWrap/>
            <w:vAlign w:val="bottom"/>
          </w:tcPr>
          <w:p w:rsidR="00FA11C5" w:rsidRPr="00F340C7" w:rsidRDefault="00FA11C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340C7">
              <w:rPr>
                <w:rFonts w:cs="Calibri"/>
                <w:color w:val="000000"/>
              </w:rPr>
              <w:t>Visits 3a and 7a (Coitus Visits)</w:t>
            </w:r>
          </w:p>
          <w:p w:rsidR="00FA11C5" w:rsidRDefault="00FA11C5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</w:p>
        </w:tc>
      </w:tr>
      <w:tr w:rsidR="00FA11C5" w:rsidRPr="006239A9" w:rsidTr="004952F1">
        <w:trPr>
          <w:trHeight w:val="415"/>
          <w:jc w:val="center"/>
        </w:trPr>
        <w:tc>
          <w:tcPr>
            <w:tcW w:w="486" w:type="dxa"/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7350" w:type="dxa"/>
          </w:tcPr>
          <w:p w:rsidR="00FA11C5" w:rsidRPr="003B279B" w:rsidRDefault="00FA11C5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992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857"/>
          <w:jc w:val="center"/>
        </w:trPr>
        <w:tc>
          <w:tcPr>
            <w:tcW w:w="486" w:type="dxa"/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7350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:rsidR="00FA11C5" w:rsidRDefault="00FA11C5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:rsidR="00FA11C5" w:rsidRPr="003B279B" w:rsidRDefault="00FA11C5" w:rsidP="00AF439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392"/>
          <w:jc w:val="center"/>
        </w:trPr>
        <w:tc>
          <w:tcPr>
            <w:tcW w:w="486" w:type="dxa"/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7350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992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422"/>
          <w:jc w:val="center"/>
        </w:trPr>
        <w:tc>
          <w:tcPr>
            <w:tcW w:w="486" w:type="dxa"/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7350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992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422"/>
          <w:jc w:val="center"/>
        </w:trPr>
        <w:tc>
          <w:tcPr>
            <w:tcW w:w="486" w:type="dxa"/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350" w:type="dxa"/>
          </w:tcPr>
          <w:p w:rsidR="00FA11C5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continued participant monogamy</w:t>
            </w:r>
          </w:p>
          <w:p w:rsidR="00FA11C5" w:rsidRDefault="00FA11C5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Monogamous ==&gt; CONTINUE</w:t>
            </w:r>
          </w:p>
          <w:p w:rsidR="00FA11C5" w:rsidRDefault="00FA11C5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 monogamous</w:t>
            </w:r>
            <w:r w:rsidRPr="003B279B">
              <w:rPr>
                <w:rFonts w:cs="Calibri"/>
                <w:color w:val="000000"/>
              </w:rPr>
              <w:t xml:space="preserve"> ==&gt; </w:t>
            </w:r>
            <w:r>
              <w:rPr>
                <w:rFonts w:cs="Calibri"/>
                <w:color w:val="000000"/>
              </w:rPr>
              <w:t>STOP.  Terminate participant and partner from study</w:t>
            </w:r>
          </w:p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422"/>
          <w:jc w:val="center"/>
        </w:trPr>
        <w:tc>
          <w:tcPr>
            <w:tcW w:w="486" w:type="dxa"/>
            <w:noWrap/>
          </w:tcPr>
          <w:p w:rsidR="00FA11C5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7350" w:type="dxa"/>
          </w:tcPr>
          <w:p w:rsidR="00FA11C5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Instruct participant to complete self-administered male behavioral questionnaire.  Transcribe results onto Male Practices – Group 2 CRF.</w:t>
            </w:r>
          </w:p>
        </w:tc>
        <w:tc>
          <w:tcPr>
            <w:tcW w:w="992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384"/>
          <w:jc w:val="center"/>
        </w:trPr>
        <w:tc>
          <w:tcPr>
            <w:tcW w:w="486" w:type="dxa"/>
            <w:noWrap/>
          </w:tcPr>
          <w:p w:rsidR="00FA11C5" w:rsidRPr="003B279B" w:rsidRDefault="00FA11C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7350" w:type="dxa"/>
          </w:tcPr>
          <w:p w:rsidR="00FA11C5" w:rsidRPr="00B8126F" w:rsidRDefault="00FA11C5" w:rsidP="00BD097E">
            <w:pPr>
              <w:spacing w:after="0" w:line="240" w:lineRule="auto"/>
              <w:rPr>
                <w:rFonts w:cs="Calibri"/>
                <w:color w:val="000000"/>
              </w:rPr>
            </w:pPr>
            <w:r w:rsidRPr="00B8126F">
              <w:rPr>
                <w:rFonts w:cs="Calibri"/>
                <w:color w:val="000000"/>
              </w:rPr>
              <w:t xml:space="preserve">Collect follow-up medical/ medications history: review/update AE Log, and Concomitant Medications Log CRFs. </w:t>
            </w:r>
          </w:p>
        </w:tc>
        <w:tc>
          <w:tcPr>
            <w:tcW w:w="992" w:type="dxa"/>
          </w:tcPr>
          <w:p w:rsidR="00FA11C5" w:rsidRPr="003B279B" w:rsidRDefault="00FA11C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359"/>
          <w:jc w:val="center"/>
        </w:trPr>
        <w:tc>
          <w:tcPr>
            <w:tcW w:w="486" w:type="dxa"/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350" w:type="dxa"/>
          </w:tcPr>
          <w:p w:rsidR="00FA11C5" w:rsidRPr="00B8126F" w:rsidRDefault="00FA11C5" w:rsidP="00986660">
            <w:pPr>
              <w:spacing w:after="0" w:line="240" w:lineRule="auto"/>
              <w:rPr>
                <w:rFonts w:cs="Calibri"/>
                <w:color w:val="000000"/>
              </w:rPr>
            </w:pPr>
            <w:r w:rsidRPr="00B8126F">
              <w:rPr>
                <w:rFonts w:cs="Calibri"/>
                <w:color w:val="000000"/>
              </w:rPr>
              <w:t>Provide modified HIV/STI risk reduction counseling</w:t>
            </w:r>
          </w:p>
        </w:tc>
        <w:tc>
          <w:tcPr>
            <w:tcW w:w="992" w:type="dxa"/>
          </w:tcPr>
          <w:p w:rsidR="00FA11C5" w:rsidRPr="002C70C5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318"/>
          <w:jc w:val="center"/>
        </w:trPr>
        <w:tc>
          <w:tcPr>
            <w:tcW w:w="486" w:type="dxa"/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7350" w:type="dxa"/>
          </w:tcPr>
          <w:p w:rsidR="00FA11C5" w:rsidRPr="00B8126F" w:rsidRDefault="00FA11C5" w:rsidP="00F25859">
            <w:pPr>
              <w:spacing w:after="0" w:line="240" w:lineRule="auto"/>
              <w:rPr>
                <w:rFonts w:cs="Calibri"/>
                <w:color w:val="000000"/>
              </w:rPr>
            </w:pPr>
            <w:r w:rsidRPr="00B8126F">
              <w:t>If indicated, NAAT for GC/CT and urine culture</w:t>
            </w:r>
          </w:p>
        </w:tc>
        <w:tc>
          <w:tcPr>
            <w:tcW w:w="992" w:type="dxa"/>
          </w:tcPr>
          <w:p w:rsidR="00FA11C5" w:rsidRPr="003E1CF8" w:rsidRDefault="00FA11C5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591"/>
          <w:jc w:val="center"/>
        </w:trPr>
        <w:tc>
          <w:tcPr>
            <w:tcW w:w="486" w:type="dxa"/>
            <w:noWrap/>
          </w:tcPr>
          <w:p w:rsidR="00FA11C5" w:rsidRPr="003B279B" w:rsidRDefault="00FA11C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7350" w:type="dxa"/>
          </w:tcPr>
          <w:p w:rsidR="00FA11C5" w:rsidRPr="00B8126F" w:rsidRDefault="00FA11C5" w:rsidP="005D6F67">
            <w:pPr>
              <w:spacing w:after="0" w:line="240" w:lineRule="auto"/>
              <w:rPr>
                <w:rFonts w:cs="Calibri"/>
                <w:color w:val="000000"/>
              </w:rPr>
            </w:pPr>
            <w:r w:rsidRPr="00B8126F">
              <w:rPr>
                <w:rFonts w:cs="Calibri"/>
                <w:color w:val="000000"/>
              </w:rPr>
              <w:t>Perform and document modified physical exam. Complete Physical Exam – Male form (non-</w:t>
            </w:r>
            <w:proofErr w:type="spellStart"/>
            <w:r w:rsidRPr="00B8126F">
              <w:rPr>
                <w:rFonts w:cs="Calibri"/>
                <w:color w:val="000000"/>
              </w:rPr>
              <w:t>DataFax</w:t>
            </w:r>
            <w:proofErr w:type="spellEnd"/>
            <w:r w:rsidRPr="00B8126F">
              <w:rPr>
                <w:rFonts w:cs="Calibri"/>
                <w:color w:val="000000"/>
              </w:rPr>
              <w:t>).</w:t>
            </w:r>
          </w:p>
        </w:tc>
        <w:tc>
          <w:tcPr>
            <w:tcW w:w="992" w:type="dxa"/>
          </w:tcPr>
          <w:p w:rsidR="00FA11C5" w:rsidRPr="003B279B" w:rsidRDefault="00FA11C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591"/>
          <w:jc w:val="center"/>
        </w:trPr>
        <w:tc>
          <w:tcPr>
            <w:tcW w:w="486" w:type="dxa"/>
            <w:noWrap/>
          </w:tcPr>
          <w:p w:rsidR="00FA11C5" w:rsidRPr="003B279B" w:rsidRDefault="00FA11C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7350" w:type="dxa"/>
          </w:tcPr>
          <w:p w:rsidR="00FA11C5" w:rsidRPr="00B8126F" w:rsidRDefault="00FA11C5" w:rsidP="00BD097E">
            <w:pPr>
              <w:spacing w:after="0" w:line="240" w:lineRule="auto"/>
              <w:rPr>
                <w:rFonts w:cs="Calibri"/>
                <w:color w:val="000000"/>
              </w:rPr>
            </w:pPr>
            <w:r w:rsidRPr="00B8126F">
              <w:rPr>
                <w:rFonts w:cs="Calibri"/>
                <w:color w:val="000000"/>
              </w:rPr>
              <w:t xml:space="preserve">If indicated, perform and document genital exam </w:t>
            </w:r>
          </w:p>
          <w:p w:rsidR="00FA11C5" w:rsidRPr="00B8126F" w:rsidRDefault="00FA11C5" w:rsidP="00BD097E">
            <w:pPr>
              <w:spacing w:after="0" w:line="240" w:lineRule="auto"/>
              <w:rPr>
                <w:rFonts w:cs="Calibri"/>
                <w:color w:val="000000"/>
              </w:rPr>
            </w:pPr>
            <w:r w:rsidRPr="00B8126F">
              <w:rPr>
                <w:rFonts w:cs="Calibri"/>
                <w:color w:val="000000"/>
              </w:rPr>
              <w:t>Complete Genital Exam form (non-</w:t>
            </w:r>
            <w:proofErr w:type="spellStart"/>
            <w:r w:rsidRPr="00B8126F">
              <w:rPr>
                <w:rFonts w:cs="Calibri"/>
                <w:color w:val="000000"/>
              </w:rPr>
              <w:t>DataFax</w:t>
            </w:r>
            <w:proofErr w:type="spellEnd"/>
            <w:r w:rsidRPr="00B8126F">
              <w:rPr>
                <w:rFonts w:cs="Calibri"/>
                <w:color w:val="000000"/>
              </w:rPr>
              <w:t>).</w:t>
            </w:r>
          </w:p>
        </w:tc>
        <w:tc>
          <w:tcPr>
            <w:tcW w:w="992" w:type="dxa"/>
          </w:tcPr>
          <w:p w:rsidR="00FA11C5" w:rsidRPr="003B279B" w:rsidRDefault="00FA11C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401"/>
          <w:jc w:val="center"/>
        </w:trPr>
        <w:tc>
          <w:tcPr>
            <w:tcW w:w="486" w:type="dxa"/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7350" w:type="dxa"/>
          </w:tcPr>
          <w:p w:rsidR="00FA11C5" w:rsidRPr="00B8126F" w:rsidRDefault="00FA11C5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B8126F">
              <w:rPr>
                <w:rFonts w:cs="Calibri"/>
                <w:color w:val="000000"/>
              </w:rPr>
              <w:t>If STI/RTI/UTI is diagnosed, provide treatment.</w:t>
            </w:r>
          </w:p>
        </w:tc>
        <w:tc>
          <w:tcPr>
            <w:tcW w:w="992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401"/>
          <w:jc w:val="center"/>
        </w:trPr>
        <w:tc>
          <w:tcPr>
            <w:tcW w:w="486" w:type="dxa"/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7350" w:type="dxa"/>
          </w:tcPr>
          <w:p w:rsidR="00FA11C5" w:rsidRPr="00B8126F" w:rsidRDefault="00FA11C5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B8126F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992" w:type="dxa"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A11C5" w:rsidRPr="006239A9" w:rsidTr="004952F1">
        <w:trPr>
          <w:trHeight w:val="417"/>
          <w:jc w:val="center"/>
        </w:trPr>
        <w:tc>
          <w:tcPr>
            <w:tcW w:w="486" w:type="dxa"/>
            <w:noWrap/>
          </w:tcPr>
          <w:p w:rsidR="00FA11C5" w:rsidRPr="003F7805" w:rsidRDefault="00FA11C5" w:rsidP="00142C11">
            <w:pPr>
              <w:spacing w:after="0" w:line="240" w:lineRule="auto"/>
            </w:pPr>
            <w:r>
              <w:t>14</w:t>
            </w:r>
          </w:p>
        </w:tc>
        <w:tc>
          <w:tcPr>
            <w:tcW w:w="7350" w:type="dxa"/>
          </w:tcPr>
          <w:p w:rsidR="00FA11C5" w:rsidRPr="003F7805" w:rsidRDefault="00FA11C5" w:rsidP="00BD097E">
            <w:pPr>
              <w:spacing w:after="0" w:line="240" w:lineRule="auto"/>
            </w:pPr>
            <w:r>
              <w:t xml:space="preserve">Provide logistical information and instructions for coitus.  </w:t>
            </w:r>
          </w:p>
        </w:tc>
        <w:tc>
          <w:tcPr>
            <w:tcW w:w="992" w:type="dxa"/>
          </w:tcPr>
          <w:p w:rsidR="00FA11C5" w:rsidRPr="003F7805" w:rsidRDefault="00FA11C5" w:rsidP="00142C11">
            <w:pPr>
              <w:spacing w:after="0" w:line="240" w:lineRule="auto"/>
            </w:pPr>
          </w:p>
        </w:tc>
      </w:tr>
      <w:tr w:rsidR="00FA11C5" w:rsidRPr="006239A9" w:rsidTr="004952F1">
        <w:trPr>
          <w:trHeight w:val="654"/>
          <w:jc w:val="center"/>
        </w:trPr>
        <w:tc>
          <w:tcPr>
            <w:tcW w:w="486" w:type="dxa"/>
            <w:noWrap/>
          </w:tcPr>
          <w:p w:rsidR="00FA11C5" w:rsidRPr="003F7805" w:rsidRDefault="00FA11C5" w:rsidP="00142C11">
            <w:pPr>
              <w:spacing w:after="0" w:line="240" w:lineRule="auto"/>
            </w:pPr>
            <w:r>
              <w:t>15</w:t>
            </w:r>
          </w:p>
        </w:tc>
        <w:tc>
          <w:tcPr>
            <w:tcW w:w="7350" w:type="dxa"/>
          </w:tcPr>
          <w:p w:rsidR="00FA11C5" w:rsidRPr="003F7805" w:rsidRDefault="00FA11C5" w:rsidP="00142C11">
            <w:pPr>
              <w:spacing w:after="0" w:line="240" w:lineRule="auto"/>
            </w:pPr>
            <w:r w:rsidRPr="003F7805">
              <w:t>Schedule</w:t>
            </w:r>
            <w:r>
              <w:t xml:space="preserve"> next</w:t>
            </w:r>
            <w:r w:rsidRPr="003F7805">
              <w:t xml:space="preserve"> visit</w:t>
            </w:r>
            <w:r>
              <w:t>,</w:t>
            </w:r>
            <w:r w:rsidRPr="003F7805">
              <w:t xml:space="preserve"> </w:t>
            </w:r>
            <w:r>
              <w:t>if applicable</w:t>
            </w:r>
          </w:p>
        </w:tc>
        <w:tc>
          <w:tcPr>
            <w:tcW w:w="992" w:type="dxa"/>
          </w:tcPr>
          <w:p w:rsidR="00FA11C5" w:rsidRPr="003F7805" w:rsidRDefault="00FA11C5" w:rsidP="00142C11">
            <w:pPr>
              <w:spacing w:after="0" w:line="240" w:lineRule="auto"/>
            </w:pPr>
          </w:p>
        </w:tc>
      </w:tr>
      <w:tr w:rsidR="00FA11C5" w:rsidRPr="006239A9" w:rsidTr="004952F1">
        <w:trPr>
          <w:trHeight w:val="405"/>
          <w:jc w:val="center"/>
        </w:trPr>
        <w:tc>
          <w:tcPr>
            <w:tcW w:w="486" w:type="dxa"/>
            <w:noWrap/>
          </w:tcPr>
          <w:p w:rsidR="00FA11C5" w:rsidRPr="003F7805" w:rsidRDefault="00FA11C5" w:rsidP="00142C11">
            <w:pPr>
              <w:spacing w:after="0" w:line="240" w:lineRule="auto"/>
            </w:pPr>
            <w:r>
              <w:t>16</w:t>
            </w:r>
          </w:p>
        </w:tc>
        <w:tc>
          <w:tcPr>
            <w:tcW w:w="7350" w:type="dxa"/>
          </w:tcPr>
          <w:p w:rsidR="00FA11C5" w:rsidRPr="003F7805" w:rsidRDefault="00FA11C5" w:rsidP="00142C11">
            <w:pPr>
              <w:spacing w:after="0" w:line="240" w:lineRule="auto"/>
            </w:pPr>
            <w:r w:rsidRPr="003F7805">
              <w:t>Provide reimbursement</w:t>
            </w:r>
          </w:p>
        </w:tc>
        <w:tc>
          <w:tcPr>
            <w:tcW w:w="992" w:type="dxa"/>
          </w:tcPr>
          <w:p w:rsidR="00FA11C5" w:rsidRPr="003F7805" w:rsidRDefault="00FA11C5" w:rsidP="00142C11">
            <w:pPr>
              <w:spacing w:after="0" w:line="240" w:lineRule="auto"/>
            </w:pPr>
          </w:p>
        </w:tc>
      </w:tr>
      <w:tr w:rsidR="00FA11C5" w:rsidRPr="006239A9" w:rsidTr="00495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5" w:rsidRDefault="00FA11C5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 xml:space="preserve">ax all required </w:t>
            </w:r>
            <w:proofErr w:type="spellStart"/>
            <w:r w:rsidRPr="003B279B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ataFax</w:t>
            </w:r>
            <w:proofErr w:type="spellEnd"/>
            <w:r>
              <w:rPr>
                <w:rFonts w:cs="Calibri"/>
                <w:color w:val="000000"/>
              </w:rPr>
              <w:t xml:space="preserve"> forms to SCHARP 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FA11C5" w:rsidRPr="00996794" w:rsidRDefault="00FA11C5" w:rsidP="005D6F67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Visit</w:t>
            </w:r>
            <w:r>
              <w:rPr>
                <w:b/>
              </w:rPr>
              <w:t>s 3a, 7a</w:t>
            </w:r>
            <w:r w:rsidRPr="00710487">
              <w:rPr>
                <w:b/>
              </w:rPr>
              <w:t>:</w:t>
            </w:r>
          </w:p>
          <w:p w:rsidR="00FA11C5" w:rsidRDefault="00FA11C5" w:rsidP="00F233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Male Practices – Group 2 (Visits 3a, 7a)</w:t>
            </w:r>
          </w:p>
          <w:p w:rsidR="00FA11C5" w:rsidRPr="00F23379" w:rsidRDefault="00FA11C5" w:rsidP="00F233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23379">
              <w:rPr>
                <w:rFonts w:cs="Calibri"/>
                <w:color w:val="000000"/>
              </w:rPr>
              <w:t>Physical Exam – Male (non-</w:t>
            </w:r>
            <w:proofErr w:type="spellStart"/>
            <w:r w:rsidRPr="00F23379">
              <w:rPr>
                <w:rFonts w:cs="Calibri"/>
                <w:color w:val="000000"/>
              </w:rPr>
              <w:t>DataFax</w:t>
            </w:r>
            <w:proofErr w:type="spellEnd"/>
            <w:r w:rsidRPr="00F23379">
              <w:rPr>
                <w:rFonts w:cs="Calibri"/>
                <w:color w:val="000000"/>
              </w:rPr>
              <w:t>) (Visits 3a, 7a)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5" w:rsidRPr="003B279B" w:rsidRDefault="00FA11C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FA11C5" w:rsidRDefault="00FA11C5"/>
    <w:sectPr w:rsidR="00FA11C5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C5" w:rsidRDefault="00FA11C5" w:rsidP="00664B51">
      <w:pPr>
        <w:spacing w:after="0" w:line="240" w:lineRule="auto"/>
      </w:pPr>
      <w:r>
        <w:separator/>
      </w:r>
    </w:p>
  </w:endnote>
  <w:endnote w:type="continuationSeparator" w:id="0">
    <w:p w:rsidR="00FA11C5" w:rsidRDefault="00FA11C5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5" w:rsidRDefault="00FA11C5">
    <w:pPr>
      <w:pStyle w:val="Footer"/>
    </w:pPr>
    <w:r>
      <w:rPr>
        <w:sz w:val="18"/>
        <w:szCs w:val="18"/>
      </w:rPr>
      <w:t>MTN-011 Male Follow-up Visit Checklist (Group 2)</w:t>
    </w:r>
    <w:r w:rsidR="005F3C4B">
      <w:rPr>
        <w:sz w:val="18"/>
        <w:szCs w:val="18"/>
      </w:rPr>
      <w:tab/>
    </w:r>
    <w:r>
      <w:rPr>
        <w:sz w:val="18"/>
        <w:szCs w:val="18"/>
      </w:rPr>
      <w:tab/>
    </w:r>
    <w:r w:rsidR="005F3C4B">
      <w:rPr>
        <w:sz w:val="18"/>
        <w:szCs w:val="18"/>
      </w:rPr>
      <w:t>24 September</w:t>
    </w:r>
    <w:r>
      <w:rPr>
        <w:sz w:val="18"/>
        <w:szCs w:val="18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C5" w:rsidRDefault="00FA11C5" w:rsidP="00664B51">
      <w:pPr>
        <w:spacing w:after="0" w:line="240" w:lineRule="auto"/>
      </w:pPr>
      <w:r>
        <w:separator/>
      </w:r>
    </w:p>
  </w:footnote>
  <w:footnote w:type="continuationSeparator" w:id="0">
    <w:p w:rsidR="00FA11C5" w:rsidRDefault="00FA11C5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5" w:rsidRDefault="005F3C4B">
    <w:pPr>
      <w:pStyle w:val="Header"/>
      <w:tabs>
        <w:tab w:val="clear" w:pos="9360"/>
        <w:tab w:val="right" w:pos="9990"/>
      </w:tabs>
      <w:ind w:left="-63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A11C5">
      <w:t>PTID: __ __ __- __ __ __ __ __- __</w:t>
    </w:r>
    <w:r w:rsidR="00FA11C5">
      <w:tab/>
      <w:t xml:space="preserve">                               Date: ______________________</w:t>
    </w:r>
    <w:r w:rsidR="00FA11C5">
      <w:tab/>
      <w:t>Visit Code</w:t>
    </w:r>
    <w:proofErr w:type="gramStart"/>
    <w:r w:rsidR="00FA11C5">
      <w:t>:_</w:t>
    </w:r>
    <w:proofErr w:type="gramEnd"/>
    <w:r w:rsidR="00FA11C5">
      <w:t>_</w:t>
    </w:r>
    <w:r w:rsidR="00FA11C5">
      <w:rPr>
        <w:u w:val="single"/>
      </w:rPr>
      <w:t>___</w:t>
    </w:r>
    <w:r w:rsidR="00FA11C5"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17"/>
  </w:num>
  <w:num w:numId="14">
    <w:abstractNumId w:val="18"/>
  </w:num>
  <w:num w:numId="15">
    <w:abstractNumId w:val="6"/>
  </w:num>
  <w:num w:numId="16">
    <w:abstractNumId w:val="15"/>
  </w:num>
  <w:num w:numId="17">
    <w:abstractNumId w:val="9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2435A"/>
    <w:rsid w:val="000549F0"/>
    <w:rsid w:val="000664B4"/>
    <w:rsid w:val="000733D9"/>
    <w:rsid w:val="00077179"/>
    <w:rsid w:val="00083FB7"/>
    <w:rsid w:val="000D6EA8"/>
    <w:rsid w:val="0011076F"/>
    <w:rsid w:val="0013097B"/>
    <w:rsid w:val="00137675"/>
    <w:rsid w:val="00137BDD"/>
    <w:rsid w:val="00142C11"/>
    <w:rsid w:val="00144DE2"/>
    <w:rsid w:val="0018382A"/>
    <w:rsid w:val="001A7608"/>
    <w:rsid w:val="001B2DA4"/>
    <w:rsid w:val="001B468C"/>
    <w:rsid w:val="002104F5"/>
    <w:rsid w:val="002631C6"/>
    <w:rsid w:val="00270C3A"/>
    <w:rsid w:val="002B2D61"/>
    <w:rsid w:val="002C4AC9"/>
    <w:rsid w:val="002C57E5"/>
    <w:rsid w:val="002C70C5"/>
    <w:rsid w:val="002E12C0"/>
    <w:rsid w:val="003374F9"/>
    <w:rsid w:val="00337617"/>
    <w:rsid w:val="00355945"/>
    <w:rsid w:val="00360B01"/>
    <w:rsid w:val="0038024C"/>
    <w:rsid w:val="003B07A2"/>
    <w:rsid w:val="003B14D6"/>
    <w:rsid w:val="003B279B"/>
    <w:rsid w:val="003E1CF8"/>
    <w:rsid w:val="003E73D2"/>
    <w:rsid w:val="003F7805"/>
    <w:rsid w:val="004122BF"/>
    <w:rsid w:val="00426CA9"/>
    <w:rsid w:val="004507F4"/>
    <w:rsid w:val="004711E3"/>
    <w:rsid w:val="004763D5"/>
    <w:rsid w:val="004952F1"/>
    <w:rsid w:val="004A1A10"/>
    <w:rsid w:val="004A1A5C"/>
    <w:rsid w:val="004A4F56"/>
    <w:rsid w:val="004B0637"/>
    <w:rsid w:val="004B7E19"/>
    <w:rsid w:val="00502000"/>
    <w:rsid w:val="00525639"/>
    <w:rsid w:val="0056499E"/>
    <w:rsid w:val="00573EAE"/>
    <w:rsid w:val="005C7912"/>
    <w:rsid w:val="005D50AC"/>
    <w:rsid w:val="005D6F67"/>
    <w:rsid w:val="005E6BF0"/>
    <w:rsid w:val="005F3C4B"/>
    <w:rsid w:val="005F42BA"/>
    <w:rsid w:val="006239A9"/>
    <w:rsid w:val="00635E7C"/>
    <w:rsid w:val="006530DF"/>
    <w:rsid w:val="00655EA1"/>
    <w:rsid w:val="00656FC6"/>
    <w:rsid w:val="006648F5"/>
    <w:rsid w:val="00664B51"/>
    <w:rsid w:val="006A3AD3"/>
    <w:rsid w:val="006D63E3"/>
    <w:rsid w:val="006E12BE"/>
    <w:rsid w:val="006F2544"/>
    <w:rsid w:val="00702091"/>
    <w:rsid w:val="00710487"/>
    <w:rsid w:val="00732F5C"/>
    <w:rsid w:val="00737EE3"/>
    <w:rsid w:val="00747EF7"/>
    <w:rsid w:val="007633F7"/>
    <w:rsid w:val="00771AD7"/>
    <w:rsid w:val="007B279C"/>
    <w:rsid w:val="007B46ED"/>
    <w:rsid w:val="007D53E7"/>
    <w:rsid w:val="008056D4"/>
    <w:rsid w:val="00827BDC"/>
    <w:rsid w:val="00827DFF"/>
    <w:rsid w:val="008332D0"/>
    <w:rsid w:val="00850729"/>
    <w:rsid w:val="00865266"/>
    <w:rsid w:val="00882EB3"/>
    <w:rsid w:val="00884B9A"/>
    <w:rsid w:val="00884F24"/>
    <w:rsid w:val="008915C7"/>
    <w:rsid w:val="008917EB"/>
    <w:rsid w:val="008A636B"/>
    <w:rsid w:val="008A7F75"/>
    <w:rsid w:val="008B5294"/>
    <w:rsid w:val="008E5A13"/>
    <w:rsid w:val="008F6447"/>
    <w:rsid w:val="009276D9"/>
    <w:rsid w:val="00943C97"/>
    <w:rsid w:val="00980382"/>
    <w:rsid w:val="00980FB0"/>
    <w:rsid w:val="00986660"/>
    <w:rsid w:val="00996794"/>
    <w:rsid w:val="009F6F54"/>
    <w:rsid w:val="00A1439F"/>
    <w:rsid w:val="00A33D48"/>
    <w:rsid w:val="00A3401C"/>
    <w:rsid w:val="00A36E83"/>
    <w:rsid w:val="00A532FD"/>
    <w:rsid w:val="00AF4393"/>
    <w:rsid w:val="00B02E4E"/>
    <w:rsid w:val="00B147EA"/>
    <w:rsid w:val="00B219B1"/>
    <w:rsid w:val="00B27601"/>
    <w:rsid w:val="00B31A72"/>
    <w:rsid w:val="00B43302"/>
    <w:rsid w:val="00B53D7F"/>
    <w:rsid w:val="00B64784"/>
    <w:rsid w:val="00B73656"/>
    <w:rsid w:val="00B74C1B"/>
    <w:rsid w:val="00B8126F"/>
    <w:rsid w:val="00B84638"/>
    <w:rsid w:val="00BA0F7A"/>
    <w:rsid w:val="00BA593C"/>
    <w:rsid w:val="00BB1CF0"/>
    <w:rsid w:val="00BB6292"/>
    <w:rsid w:val="00BD097E"/>
    <w:rsid w:val="00BD33FA"/>
    <w:rsid w:val="00BD55D7"/>
    <w:rsid w:val="00BF0870"/>
    <w:rsid w:val="00BF1F17"/>
    <w:rsid w:val="00C05A9A"/>
    <w:rsid w:val="00C13E03"/>
    <w:rsid w:val="00C36008"/>
    <w:rsid w:val="00C509BF"/>
    <w:rsid w:val="00C82721"/>
    <w:rsid w:val="00C942F6"/>
    <w:rsid w:val="00CA02D7"/>
    <w:rsid w:val="00CC0D42"/>
    <w:rsid w:val="00CD7E35"/>
    <w:rsid w:val="00D04F17"/>
    <w:rsid w:val="00D07155"/>
    <w:rsid w:val="00D342C2"/>
    <w:rsid w:val="00D75276"/>
    <w:rsid w:val="00D87AF3"/>
    <w:rsid w:val="00D94445"/>
    <w:rsid w:val="00DA0F23"/>
    <w:rsid w:val="00DA7D6C"/>
    <w:rsid w:val="00DB6AC3"/>
    <w:rsid w:val="00DC3C0D"/>
    <w:rsid w:val="00DC740D"/>
    <w:rsid w:val="00DD4EE7"/>
    <w:rsid w:val="00DE1653"/>
    <w:rsid w:val="00E14166"/>
    <w:rsid w:val="00E1610A"/>
    <w:rsid w:val="00E221CF"/>
    <w:rsid w:val="00E40E20"/>
    <w:rsid w:val="00E83C62"/>
    <w:rsid w:val="00E847CC"/>
    <w:rsid w:val="00EB1AA8"/>
    <w:rsid w:val="00EB460D"/>
    <w:rsid w:val="00EC1A7D"/>
    <w:rsid w:val="00EE77A7"/>
    <w:rsid w:val="00EF6B99"/>
    <w:rsid w:val="00F23379"/>
    <w:rsid w:val="00F243BC"/>
    <w:rsid w:val="00F25859"/>
    <w:rsid w:val="00F328B8"/>
    <w:rsid w:val="00F340C7"/>
    <w:rsid w:val="00F43D6E"/>
    <w:rsid w:val="00F54AD9"/>
    <w:rsid w:val="00F54C05"/>
    <w:rsid w:val="00F62B45"/>
    <w:rsid w:val="00F63C92"/>
    <w:rsid w:val="00FA11C5"/>
    <w:rsid w:val="00FA1B59"/>
    <w:rsid w:val="00FA407D"/>
    <w:rsid w:val="00FA462F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>FHI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Lisa Levy</cp:lastModifiedBy>
  <cp:revision>2</cp:revision>
  <dcterms:created xsi:type="dcterms:W3CDTF">2012-09-19T20:33:00Z</dcterms:created>
  <dcterms:modified xsi:type="dcterms:W3CDTF">2012-09-19T20:33:00Z</dcterms:modified>
</cp:coreProperties>
</file>