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C9188" w14:textId="77777777" w:rsidR="00BC39F7" w:rsidRDefault="00BC39F7" w:rsidP="00586DA1">
      <w:pPr>
        <w:pStyle w:val="BodyTextIndent"/>
        <w:keepLines/>
        <w:tabs>
          <w:tab w:val="num" w:pos="1080"/>
        </w:tabs>
        <w:ind w:left="0" w:right="-630"/>
        <w:jc w:val="both"/>
        <w:rPr>
          <w:sz w:val="20"/>
          <w:szCs w:val="20"/>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5130"/>
        <w:gridCol w:w="1440"/>
        <w:gridCol w:w="3893"/>
      </w:tblGrid>
      <w:tr w:rsidR="00BC39F7" w:rsidRPr="003F7805" w14:paraId="2EAF1887" w14:textId="77777777" w:rsidTr="00683660">
        <w:trPr>
          <w:trHeight w:val="300"/>
          <w:tblHeader/>
        </w:trPr>
        <w:tc>
          <w:tcPr>
            <w:tcW w:w="10980" w:type="dxa"/>
            <w:gridSpan w:val="4"/>
            <w:shd w:val="clear" w:color="auto" w:fill="95B3D7"/>
          </w:tcPr>
          <w:p w14:paraId="2387E028" w14:textId="77777777" w:rsidR="00BC39F7" w:rsidRPr="003F7805" w:rsidRDefault="00D96341" w:rsidP="00D96341">
            <w:pPr>
              <w:spacing w:after="0" w:line="240" w:lineRule="auto"/>
              <w:jc w:val="center"/>
              <w:rPr>
                <w:b/>
              </w:rPr>
            </w:pPr>
            <w:r>
              <w:rPr>
                <w:b/>
              </w:rPr>
              <w:t>Transfer</w:t>
            </w:r>
            <w:r w:rsidR="00BC39F7" w:rsidRPr="003F7805">
              <w:rPr>
                <w:b/>
              </w:rPr>
              <w:t xml:space="preserve"> Checklist</w:t>
            </w:r>
            <w:r>
              <w:rPr>
                <w:b/>
              </w:rPr>
              <w:t xml:space="preserve"> (Transferring Site)</w:t>
            </w:r>
          </w:p>
        </w:tc>
      </w:tr>
      <w:tr w:rsidR="00BC39F7" w:rsidRPr="003F7805" w14:paraId="5F6A016F" w14:textId="77777777" w:rsidTr="00016537">
        <w:trPr>
          <w:trHeight w:val="395"/>
          <w:tblHeader/>
        </w:trPr>
        <w:tc>
          <w:tcPr>
            <w:tcW w:w="5647" w:type="dxa"/>
            <w:gridSpan w:val="2"/>
            <w:noWrap/>
            <w:vAlign w:val="bottom"/>
          </w:tcPr>
          <w:p w14:paraId="0E4CBD27" w14:textId="77777777" w:rsidR="00BC39F7" w:rsidRPr="003F7805" w:rsidRDefault="00BC39F7" w:rsidP="003660D2">
            <w:pPr>
              <w:spacing w:after="0" w:line="240" w:lineRule="auto"/>
            </w:pPr>
            <w:r w:rsidRPr="003F7805">
              <w:t> </w:t>
            </w:r>
            <w:r w:rsidRPr="003F7805">
              <w:rPr>
                <w:b/>
                <w:bCs/>
              </w:rPr>
              <w:t>Procedure</w:t>
            </w:r>
          </w:p>
        </w:tc>
        <w:tc>
          <w:tcPr>
            <w:tcW w:w="1440" w:type="dxa"/>
            <w:vAlign w:val="bottom"/>
          </w:tcPr>
          <w:p w14:paraId="310126EF" w14:textId="77777777" w:rsidR="00BC39F7" w:rsidRDefault="00BC39F7" w:rsidP="003660D2">
            <w:pPr>
              <w:spacing w:after="0" w:line="240" w:lineRule="auto"/>
              <w:rPr>
                <w:b/>
              </w:rPr>
            </w:pPr>
            <w:r w:rsidRPr="003F7805">
              <w:rPr>
                <w:b/>
              </w:rPr>
              <w:t>Staff Initials</w:t>
            </w:r>
            <w:r w:rsidR="00D96341">
              <w:rPr>
                <w:b/>
              </w:rPr>
              <w:t xml:space="preserve"> and Date</w:t>
            </w:r>
          </w:p>
        </w:tc>
        <w:tc>
          <w:tcPr>
            <w:tcW w:w="3893" w:type="dxa"/>
            <w:vAlign w:val="bottom"/>
          </w:tcPr>
          <w:p w14:paraId="143F6748" w14:textId="77777777" w:rsidR="00BC39F7" w:rsidRDefault="00BC39F7" w:rsidP="003660D2">
            <w:pPr>
              <w:spacing w:after="0" w:line="240" w:lineRule="auto"/>
              <w:jc w:val="center"/>
              <w:rPr>
                <w:b/>
              </w:rPr>
            </w:pPr>
            <w:r>
              <w:rPr>
                <w:b/>
              </w:rPr>
              <w:t>Comments</w:t>
            </w:r>
            <w:r w:rsidR="003660D2">
              <w:rPr>
                <w:b/>
              </w:rPr>
              <w:t>:</w:t>
            </w:r>
          </w:p>
        </w:tc>
      </w:tr>
      <w:tr w:rsidR="00BC39F7" w:rsidRPr="003F7805" w14:paraId="574B993A" w14:textId="77777777" w:rsidTr="00016537">
        <w:trPr>
          <w:trHeight w:val="450"/>
        </w:trPr>
        <w:tc>
          <w:tcPr>
            <w:tcW w:w="517" w:type="dxa"/>
            <w:noWrap/>
          </w:tcPr>
          <w:p w14:paraId="00C5D5B9" w14:textId="77777777" w:rsidR="00BC39F7" w:rsidRPr="003F7805" w:rsidRDefault="00BC39F7" w:rsidP="003F7805">
            <w:pPr>
              <w:spacing w:after="0" w:line="240" w:lineRule="auto"/>
            </w:pPr>
            <w:r w:rsidRPr="003F7805">
              <w:t>1</w:t>
            </w:r>
          </w:p>
        </w:tc>
        <w:tc>
          <w:tcPr>
            <w:tcW w:w="5130" w:type="dxa"/>
          </w:tcPr>
          <w:p w14:paraId="40A4B7E1" w14:textId="464A58EF" w:rsidR="00016537" w:rsidRPr="00586DA1" w:rsidRDefault="00301F65" w:rsidP="00E4242E">
            <w:pPr>
              <w:spacing w:after="0" w:line="240" w:lineRule="auto"/>
              <w:rPr>
                <w:b/>
              </w:rPr>
            </w:pPr>
            <w:r w:rsidRPr="00586DA1">
              <w:rPr>
                <w:b/>
              </w:rPr>
              <w:t xml:space="preserve">Discuss willingness/ability of the participant to transfer to the receiving </w:t>
            </w:r>
            <w:commentRangeStart w:id="0"/>
            <w:r w:rsidRPr="00586DA1">
              <w:rPr>
                <w:b/>
              </w:rPr>
              <w:t>site</w:t>
            </w:r>
            <w:commentRangeEnd w:id="0"/>
            <w:r w:rsidR="00581E89">
              <w:rPr>
                <w:rStyle w:val="CommentReference"/>
                <w:szCs w:val="20"/>
              </w:rPr>
              <w:commentReference w:id="0"/>
            </w:r>
            <w:r w:rsidRPr="00586DA1">
              <w:rPr>
                <w:b/>
              </w:rPr>
              <w:t>.</w:t>
            </w:r>
            <w:bookmarkStart w:id="1" w:name="_GoBack"/>
            <w:bookmarkEnd w:id="1"/>
          </w:p>
        </w:tc>
        <w:tc>
          <w:tcPr>
            <w:tcW w:w="1440" w:type="dxa"/>
          </w:tcPr>
          <w:p w14:paraId="0A2F09E2" w14:textId="77777777" w:rsidR="00BC39F7" w:rsidRPr="003F7805" w:rsidRDefault="00BC39F7" w:rsidP="003F7805">
            <w:pPr>
              <w:spacing w:after="0" w:line="240" w:lineRule="auto"/>
            </w:pPr>
          </w:p>
        </w:tc>
        <w:tc>
          <w:tcPr>
            <w:tcW w:w="3893" w:type="dxa"/>
          </w:tcPr>
          <w:p w14:paraId="499AEB8F" w14:textId="77777777" w:rsidR="00BC39F7" w:rsidRPr="003F7805" w:rsidRDefault="00BC39F7" w:rsidP="003F7805">
            <w:pPr>
              <w:spacing w:after="0" w:line="240" w:lineRule="auto"/>
            </w:pPr>
          </w:p>
        </w:tc>
      </w:tr>
      <w:tr w:rsidR="00BC39F7" w:rsidRPr="003F7805" w14:paraId="33E067F3" w14:textId="77777777" w:rsidTr="00016537">
        <w:trPr>
          <w:trHeight w:val="989"/>
        </w:trPr>
        <w:tc>
          <w:tcPr>
            <w:tcW w:w="517" w:type="dxa"/>
            <w:noWrap/>
          </w:tcPr>
          <w:p w14:paraId="0A421C77" w14:textId="77777777" w:rsidR="00BC39F7" w:rsidRPr="003F7805" w:rsidRDefault="00BC39F7" w:rsidP="003F7805">
            <w:pPr>
              <w:spacing w:after="0" w:line="240" w:lineRule="auto"/>
            </w:pPr>
            <w:r w:rsidRPr="003F7805">
              <w:t>2</w:t>
            </w:r>
          </w:p>
        </w:tc>
        <w:tc>
          <w:tcPr>
            <w:tcW w:w="5130" w:type="dxa"/>
          </w:tcPr>
          <w:p w14:paraId="254AC544" w14:textId="0D0DA4FA" w:rsidR="00016537" w:rsidRPr="00016537" w:rsidRDefault="00301F65" w:rsidP="00A432BF">
            <w:pPr>
              <w:pStyle w:val="BodyTextIndent2"/>
              <w:spacing w:after="0" w:line="240" w:lineRule="auto"/>
              <w:ind w:left="0"/>
              <w:rPr>
                <w:color w:val="000000"/>
              </w:rPr>
            </w:pPr>
            <w:r w:rsidRPr="00586DA1">
              <w:rPr>
                <w:b/>
                <w:color w:val="000000"/>
              </w:rPr>
              <w:t>Discuss and agree upon logistical details of the transfer with the receiving site</w:t>
            </w:r>
            <w:r>
              <w:rPr>
                <w:color w:val="000000"/>
              </w:rPr>
              <w:t xml:space="preserve"> </w:t>
            </w:r>
            <w:r w:rsidRPr="00581E89">
              <w:rPr>
                <w:color w:val="000000"/>
                <w:sz w:val="20"/>
              </w:rPr>
              <w:t xml:space="preserve">(e.g. next target visit date, special needs of participant, ongoing AEs, language fluency, </w:t>
            </w:r>
            <w:r w:rsidR="00A432BF" w:rsidRPr="00581E89">
              <w:rPr>
                <w:color w:val="000000"/>
                <w:sz w:val="20"/>
              </w:rPr>
              <w:t>participants</w:t>
            </w:r>
            <w:r w:rsidR="00D635E7" w:rsidRPr="00581E89">
              <w:rPr>
                <w:color w:val="000000"/>
                <w:sz w:val="20"/>
              </w:rPr>
              <w:t xml:space="preserve"> new</w:t>
            </w:r>
            <w:r w:rsidR="00A432BF" w:rsidRPr="00581E89">
              <w:rPr>
                <w:color w:val="000000"/>
                <w:sz w:val="20"/>
              </w:rPr>
              <w:t xml:space="preserve"> contact information and </w:t>
            </w:r>
            <w:r w:rsidR="00685F4F" w:rsidRPr="00581E89">
              <w:rPr>
                <w:color w:val="000000"/>
                <w:sz w:val="20"/>
              </w:rPr>
              <w:t>location</w:t>
            </w:r>
            <w:r w:rsidR="00A432BF" w:rsidRPr="00581E89">
              <w:rPr>
                <w:color w:val="000000"/>
                <w:sz w:val="20"/>
              </w:rPr>
              <w:t xml:space="preserve">, </w:t>
            </w:r>
            <w:r w:rsidR="00685F4F" w:rsidRPr="00581E89">
              <w:rPr>
                <w:color w:val="000000"/>
                <w:sz w:val="20"/>
              </w:rPr>
              <w:t xml:space="preserve"> transport needs</w:t>
            </w:r>
            <w:r w:rsidR="00A432BF" w:rsidRPr="00581E89">
              <w:rPr>
                <w:color w:val="000000"/>
                <w:sz w:val="20"/>
              </w:rPr>
              <w:t>/directions to receiving site</w:t>
            </w:r>
            <w:r w:rsidR="00D635E7" w:rsidRPr="00581E89">
              <w:rPr>
                <w:color w:val="000000"/>
                <w:sz w:val="20"/>
              </w:rPr>
              <w:t>,</w:t>
            </w:r>
            <w:r w:rsidR="00685F4F" w:rsidRPr="00581E89">
              <w:rPr>
                <w:color w:val="000000"/>
                <w:sz w:val="20"/>
              </w:rPr>
              <w:t xml:space="preserve"> </w:t>
            </w:r>
            <w:r w:rsidRPr="00581E89">
              <w:rPr>
                <w:color w:val="000000"/>
                <w:sz w:val="20"/>
              </w:rPr>
              <w:t>etc.)</w:t>
            </w:r>
            <w:r w:rsidR="002B3ED9" w:rsidRPr="00581E89">
              <w:rPr>
                <w:color w:val="000000"/>
                <w:sz w:val="20"/>
              </w:rPr>
              <w:t>.</w:t>
            </w:r>
          </w:p>
        </w:tc>
        <w:tc>
          <w:tcPr>
            <w:tcW w:w="1440" w:type="dxa"/>
          </w:tcPr>
          <w:p w14:paraId="407E98D8" w14:textId="77777777" w:rsidR="00BC39F7" w:rsidRPr="003F7805" w:rsidRDefault="00BC39F7" w:rsidP="003F7805">
            <w:pPr>
              <w:spacing w:after="0" w:line="240" w:lineRule="auto"/>
            </w:pPr>
          </w:p>
        </w:tc>
        <w:tc>
          <w:tcPr>
            <w:tcW w:w="3893" w:type="dxa"/>
          </w:tcPr>
          <w:p w14:paraId="53BA79D3" w14:textId="77777777" w:rsidR="00BC39F7" w:rsidRPr="003F7805" w:rsidRDefault="00BC39F7" w:rsidP="003F7805">
            <w:pPr>
              <w:spacing w:after="0" w:line="240" w:lineRule="auto"/>
            </w:pPr>
          </w:p>
        </w:tc>
      </w:tr>
      <w:tr w:rsidR="00BC39F7" w:rsidRPr="003F7805" w14:paraId="309E8394" w14:textId="77777777" w:rsidTr="00016537">
        <w:trPr>
          <w:trHeight w:val="597"/>
        </w:trPr>
        <w:tc>
          <w:tcPr>
            <w:tcW w:w="517" w:type="dxa"/>
            <w:noWrap/>
          </w:tcPr>
          <w:p w14:paraId="43009604" w14:textId="77777777" w:rsidR="00BC39F7" w:rsidRPr="003F7805" w:rsidRDefault="00BC39F7" w:rsidP="003F7805">
            <w:pPr>
              <w:spacing w:after="0" w:line="240" w:lineRule="auto"/>
            </w:pPr>
            <w:r w:rsidRPr="003F7805">
              <w:t>3</w:t>
            </w:r>
          </w:p>
        </w:tc>
        <w:tc>
          <w:tcPr>
            <w:tcW w:w="5130" w:type="dxa"/>
          </w:tcPr>
          <w:p w14:paraId="0887EEE6" w14:textId="4BBA6ED3" w:rsidR="00016537" w:rsidRPr="00586DA1" w:rsidRDefault="00301F65" w:rsidP="00301F65">
            <w:pPr>
              <w:spacing w:after="0" w:line="240" w:lineRule="auto"/>
              <w:rPr>
                <w:b/>
                <w:color w:val="000000"/>
              </w:rPr>
            </w:pPr>
            <w:r w:rsidRPr="00586DA1">
              <w:rPr>
                <w:b/>
                <w:color w:val="000000"/>
              </w:rPr>
              <w:t>Notify the MTN-020 study management team and the MTN Pharmacist of the transfer.</w:t>
            </w:r>
          </w:p>
        </w:tc>
        <w:tc>
          <w:tcPr>
            <w:tcW w:w="1440" w:type="dxa"/>
          </w:tcPr>
          <w:p w14:paraId="61E4A00E" w14:textId="77777777" w:rsidR="00BC39F7" w:rsidRPr="003F7805" w:rsidRDefault="00BC39F7" w:rsidP="003F7805">
            <w:pPr>
              <w:spacing w:after="0" w:line="240" w:lineRule="auto"/>
            </w:pPr>
          </w:p>
        </w:tc>
        <w:tc>
          <w:tcPr>
            <w:tcW w:w="3893" w:type="dxa"/>
          </w:tcPr>
          <w:p w14:paraId="1ADD2343" w14:textId="77777777" w:rsidR="00BC39F7" w:rsidRPr="003F7805" w:rsidRDefault="00BC39F7" w:rsidP="003F7805">
            <w:pPr>
              <w:spacing w:after="0" w:line="240" w:lineRule="auto"/>
            </w:pPr>
          </w:p>
        </w:tc>
      </w:tr>
      <w:tr w:rsidR="00BC39F7" w:rsidRPr="003F7805" w14:paraId="6B97130F" w14:textId="77777777" w:rsidTr="00016537">
        <w:trPr>
          <w:trHeight w:val="903"/>
        </w:trPr>
        <w:tc>
          <w:tcPr>
            <w:tcW w:w="517" w:type="dxa"/>
            <w:noWrap/>
          </w:tcPr>
          <w:p w14:paraId="4C2A8E1F" w14:textId="77777777" w:rsidR="00BC39F7" w:rsidRPr="003F7805" w:rsidRDefault="00BC39F7" w:rsidP="003F7805">
            <w:pPr>
              <w:spacing w:after="0" w:line="240" w:lineRule="auto"/>
            </w:pPr>
            <w:r w:rsidRPr="003F7805">
              <w:t>4</w:t>
            </w:r>
          </w:p>
        </w:tc>
        <w:tc>
          <w:tcPr>
            <w:tcW w:w="5130" w:type="dxa"/>
          </w:tcPr>
          <w:p w14:paraId="179B0E6F" w14:textId="249FFD2F" w:rsidR="00BC39F7" w:rsidRPr="00301F65" w:rsidRDefault="00301F65" w:rsidP="00301F65">
            <w:pPr>
              <w:spacing w:after="0" w:line="240" w:lineRule="auto"/>
              <w:rPr>
                <w:color w:val="000000"/>
              </w:rPr>
            </w:pPr>
            <w:r w:rsidRPr="00586DA1">
              <w:rPr>
                <w:b/>
                <w:color w:val="000000"/>
              </w:rPr>
              <w:t xml:space="preserve">Explain the transfer arrangements to the participant and obtain her </w:t>
            </w:r>
            <w:commentRangeStart w:id="2"/>
            <w:r w:rsidRPr="00586DA1">
              <w:rPr>
                <w:b/>
                <w:color w:val="000000"/>
              </w:rPr>
              <w:t>written permission</w:t>
            </w:r>
            <w:commentRangeEnd w:id="2"/>
            <w:r w:rsidR="00581E89">
              <w:rPr>
                <w:rStyle w:val="CommentReference"/>
                <w:szCs w:val="20"/>
              </w:rPr>
              <w:commentReference w:id="2"/>
            </w:r>
            <w:r w:rsidRPr="00586DA1">
              <w:rPr>
                <w:b/>
                <w:color w:val="000000"/>
              </w:rPr>
              <w:t xml:space="preserve"> to provide copies of her study records to the receiving site.</w:t>
            </w:r>
            <w:r w:rsidR="00581E89">
              <w:rPr>
                <w:b/>
                <w:color w:val="000000"/>
              </w:rPr>
              <w:t xml:space="preserve">  </w:t>
            </w:r>
            <w:r w:rsidR="00581E89">
              <w:rPr>
                <w:b/>
                <w:color w:val="000000"/>
              </w:rPr>
              <w:t>Provide contact details of receiving site.</w:t>
            </w:r>
            <w:r w:rsidR="00581E89">
              <w:rPr>
                <w:color w:val="000000"/>
              </w:rPr>
              <w:t xml:space="preserve">  </w:t>
            </w:r>
            <w:r>
              <w:rPr>
                <w:color w:val="000000"/>
              </w:rPr>
              <w:t xml:space="preserve">  </w:t>
            </w:r>
            <w:r w:rsidRPr="00D1750E">
              <w:rPr>
                <w:i/>
                <w:color w:val="000000"/>
                <w:sz w:val="20"/>
              </w:rPr>
              <w:t>(NOTE: If the participant has already moved and cannot return to sign the records release, this may be accomplished by the transferring site faxing the release to the receiving site for completion by the participant.)</w:t>
            </w:r>
          </w:p>
        </w:tc>
        <w:tc>
          <w:tcPr>
            <w:tcW w:w="1440" w:type="dxa"/>
          </w:tcPr>
          <w:p w14:paraId="328583A1" w14:textId="77777777" w:rsidR="00BC39F7" w:rsidRPr="003F7805" w:rsidRDefault="00BC39F7" w:rsidP="003F7805">
            <w:pPr>
              <w:spacing w:after="0" w:line="240" w:lineRule="auto"/>
            </w:pPr>
          </w:p>
        </w:tc>
        <w:tc>
          <w:tcPr>
            <w:tcW w:w="3893" w:type="dxa"/>
          </w:tcPr>
          <w:p w14:paraId="47178005" w14:textId="77777777" w:rsidR="00BC39F7" w:rsidRPr="003F7805" w:rsidRDefault="00BC39F7" w:rsidP="003F7805">
            <w:pPr>
              <w:spacing w:after="0" w:line="240" w:lineRule="auto"/>
            </w:pPr>
          </w:p>
        </w:tc>
      </w:tr>
      <w:tr w:rsidR="00BC39F7" w:rsidRPr="003F7805" w14:paraId="2AB7B62D" w14:textId="77777777" w:rsidTr="00016537">
        <w:trPr>
          <w:trHeight w:val="989"/>
        </w:trPr>
        <w:tc>
          <w:tcPr>
            <w:tcW w:w="517" w:type="dxa"/>
            <w:noWrap/>
          </w:tcPr>
          <w:p w14:paraId="1DC31F16" w14:textId="77777777" w:rsidR="00BC39F7" w:rsidRPr="003F7805" w:rsidRDefault="00BC39F7" w:rsidP="003F7805">
            <w:pPr>
              <w:spacing w:after="0" w:line="240" w:lineRule="auto"/>
            </w:pPr>
            <w:r w:rsidRPr="003F7805">
              <w:t>5</w:t>
            </w:r>
          </w:p>
        </w:tc>
        <w:tc>
          <w:tcPr>
            <w:tcW w:w="5130" w:type="dxa"/>
          </w:tcPr>
          <w:p w14:paraId="618C538D" w14:textId="6F2DE5AC" w:rsidR="00BC39F7" w:rsidRPr="003F7805" w:rsidRDefault="00301F65" w:rsidP="00301F65">
            <w:pPr>
              <w:spacing w:after="0" w:line="240" w:lineRule="auto"/>
            </w:pPr>
            <w:r w:rsidRPr="00586DA1">
              <w:rPr>
                <w:b/>
                <w:color w:val="000000"/>
              </w:rPr>
              <w:t xml:space="preserve">Conduct a detailed QC of all participant records.  </w:t>
            </w:r>
            <w:r w:rsidRPr="00F262D1">
              <w:rPr>
                <w:color w:val="000000"/>
                <w:sz w:val="20"/>
              </w:rPr>
              <w:t>Ensure all pending documentation (i.e. lab results) is available and filed.  Note any required follow up for the receiving site.</w:t>
            </w:r>
          </w:p>
        </w:tc>
        <w:tc>
          <w:tcPr>
            <w:tcW w:w="1440" w:type="dxa"/>
          </w:tcPr>
          <w:p w14:paraId="5F6E29C7" w14:textId="77777777" w:rsidR="00BC39F7" w:rsidRPr="003F7805" w:rsidRDefault="00BC39F7" w:rsidP="003F7805">
            <w:pPr>
              <w:spacing w:after="0" w:line="240" w:lineRule="auto"/>
            </w:pPr>
          </w:p>
        </w:tc>
        <w:tc>
          <w:tcPr>
            <w:tcW w:w="3893" w:type="dxa"/>
          </w:tcPr>
          <w:p w14:paraId="2045A42B" w14:textId="77777777" w:rsidR="00BC39F7" w:rsidRPr="003F7805" w:rsidRDefault="00BC39F7" w:rsidP="003F7805">
            <w:pPr>
              <w:spacing w:after="0" w:line="240" w:lineRule="auto"/>
            </w:pPr>
          </w:p>
        </w:tc>
      </w:tr>
      <w:tr w:rsidR="00BC39F7" w:rsidRPr="003F7805" w14:paraId="75CA7BCC" w14:textId="77777777" w:rsidTr="00016537">
        <w:trPr>
          <w:trHeight w:val="345"/>
        </w:trPr>
        <w:tc>
          <w:tcPr>
            <w:tcW w:w="517" w:type="dxa"/>
            <w:noWrap/>
          </w:tcPr>
          <w:p w14:paraId="64D4AACC" w14:textId="77777777" w:rsidR="00BC39F7" w:rsidRPr="003F7805" w:rsidRDefault="00BC39F7" w:rsidP="003F7805">
            <w:pPr>
              <w:spacing w:after="0" w:line="240" w:lineRule="auto"/>
            </w:pPr>
            <w:r w:rsidRPr="003F7805">
              <w:t>6</w:t>
            </w:r>
          </w:p>
        </w:tc>
        <w:tc>
          <w:tcPr>
            <w:tcW w:w="5130" w:type="dxa"/>
          </w:tcPr>
          <w:p w14:paraId="4DA934C4" w14:textId="02A4369D" w:rsidR="00BC39F7" w:rsidRPr="00586DA1" w:rsidRDefault="00301F65" w:rsidP="00EF7F7E">
            <w:pPr>
              <w:spacing w:after="0" w:line="240" w:lineRule="auto"/>
              <w:rPr>
                <w:b/>
              </w:rPr>
            </w:pPr>
            <w:r w:rsidRPr="00586DA1">
              <w:rPr>
                <w:b/>
                <w:color w:val="000000"/>
              </w:rPr>
              <w:t>Resolve all outstanding QCs from SCHARP.</w:t>
            </w:r>
            <w:r w:rsidR="00015218">
              <w:rPr>
                <w:b/>
                <w:color w:val="000000"/>
              </w:rPr>
              <w:t xml:space="preserve"> </w:t>
            </w:r>
            <w:r w:rsidR="00015218" w:rsidRPr="00015218">
              <w:rPr>
                <w:color w:val="000000"/>
              </w:rPr>
              <w:t xml:space="preserve">A </w:t>
            </w:r>
            <w:r w:rsidR="00015218" w:rsidRPr="00F262D1">
              <w:rPr>
                <w:color w:val="000000"/>
                <w:sz w:val="20"/>
              </w:rPr>
              <w:t xml:space="preserve">participant-specific QC Listing can be requested from SCHARP to </w:t>
            </w:r>
            <w:r w:rsidR="00EF7F7E" w:rsidRPr="00F262D1">
              <w:rPr>
                <w:color w:val="000000"/>
                <w:sz w:val="20"/>
              </w:rPr>
              <w:t>help</w:t>
            </w:r>
            <w:r w:rsidR="00015218" w:rsidRPr="00F262D1">
              <w:rPr>
                <w:color w:val="000000"/>
                <w:sz w:val="20"/>
              </w:rPr>
              <w:t xml:space="preserve"> in QC resolution.</w:t>
            </w:r>
          </w:p>
        </w:tc>
        <w:tc>
          <w:tcPr>
            <w:tcW w:w="1440" w:type="dxa"/>
          </w:tcPr>
          <w:p w14:paraId="6F5A292E" w14:textId="77777777" w:rsidR="00BC39F7" w:rsidRPr="003F7805" w:rsidRDefault="00BC39F7" w:rsidP="003F7805">
            <w:pPr>
              <w:spacing w:after="0" w:line="240" w:lineRule="auto"/>
            </w:pPr>
          </w:p>
        </w:tc>
        <w:tc>
          <w:tcPr>
            <w:tcW w:w="3893" w:type="dxa"/>
          </w:tcPr>
          <w:p w14:paraId="70EAABB7" w14:textId="77777777" w:rsidR="00BC39F7" w:rsidRPr="003F7805" w:rsidRDefault="00BC39F7" w:rsidP="003F7805">
            <w:pPr>
              <w:spacing w:after="0" w:line="240" w:lineRule="auto"/>
            </w:pPr>
          </w:p>
        </w:tc>
      </w:tr>
      <w:tr w:rsidR="00BC39F7" w:rsidRPr="003F7805" w14:paraId="036DC750" w14:textId="77777777" w:rsidTr="00016537">
        <w:trPr>
          <w:trHeight w:val="1200"/>
        </w:trPr>
        <w:tc>
          <w:tcPr>
            <w:tcW w:w="517" w:type="dxa"/>
            <w:noWrap/>
          </w:tcPr>
          <w:p w14:paraId="73FC25BC" w14:textId="77777777" w:rsidR="00BC39F7" w:rsidRPr="003F7805" w:rsidRDefault="00BC39F7" w:rsidP="003F7805">
            <w:pPr>
              <w:spacing w:after="0" w:line="240" w:lineRule="auto"/>
            </w:pPr>
            <w:r w:rsidRPr="003F7805">
              <w:t>7</w:t>
            </w:r>
          </w:p>
        </w:tc>
        <w:tc>
          <w:tcPr>
            <w:tcW w:w="5130" w:type="dxa"/>
          </w:tcPr>
          <w:p w14:paraId="79021237" w14:textId="4A3A6B58" w:rsidR="00BC39F7" w:rsidRPr="00016537" w:rsidRDefault="00301F65" w:rsidP="00016537">
            <w:pPr>
              <w:spacing w:after="0" w:line="240" w:lineRule="auto"/>
              <w:rPr>
                <w:color w:val="000000"/>
              </w:rPr>
            </w:pPr>
            <w:r w:rsidRPr="00586DA1">
              <w:rPr>
                <w:b/>
                <w:color w:val="000000"/>
              </w:rPr>
              <w:t xml:space="preserve">Prepare </w:t>
            </w:r>
            <w:r w:rsidRPr="00586DA1">
              <w:rPr>
                <w:b/>
                <w:color w:val="000000"/>
                <w:u w:val="single"/>
              </w:rPr>
              <w:t>certified copies</w:t>
            </w:r>
            <w:r w:rsidRPr="00586DA1">
              <w:rPr>
                <w:b/>
                <w:color w:val="000000"/>
              </w:rPr>
              <w:t xml:space="preserve"> of all of the participant’s study records</w:t>
            </w:r>
            <w:r>
              <w:rPr>
                <w:color w:val="000000"/>
              </w:rPr>
              <w:t xml:space="preserve"> </w:t>
            </w:r>
            <w:r w:rsidRPr="00F262D1">
              <w:rPr>
                <w:color w:val="000000"/>
                <w:sz w:val="20"/>
              </w:rPr>
              <w:t xml:space="preserve">(i.e. all informed consent forms, locator forms, and study visit documentation including chart notes, counseling notes, visit checklists, lab results, CRFs, tracking logs/tools, </w:t>
            </w:r>
            <w:commentRangeStart w:id="3"/>
            <w:proofErr w:type="spellStart"/>
            <w:r w:rsidRPr="00F262D1">
              <w:rPr>
                <w:color w:val="000000"/>
                <w:sz w:val="20"/>
              </w:rPr>
              <w:t>etc</w:t>
            </w:r>
            <w:commentRangeEnd w:id="3"/>
            <w:proofErr w:type="spellEnd"/>
            <w:r w:rsidR="00837403" w:rsidRPr="00F262D1">
              <w:rPr>
                <w:rStyle w:val="CommentReference"/>
                <w:sz w:val="14"/>
                <w:szCs w:val="20"/>
              </w:rPr>
              <w:commentReference w:id="3"/>
            </w:r>
            <w:r w:rsidRPr="00F262D1">
              <w:rPr>
                <w:color w:val="000000"/>
                <w:sz w:val="20"/>
              </w:rPr>
              <w:t>).</w:t>
            </w:r>
            <w:r w:rsidR="00016537" w:rsidRPr="00F262D1">
              <w:rPr>
                <w:color w:val="000000"/>
                <w:sz w:val="20"/>
              </w:rPr>
              <w:t xml:space="preserve">  </w:t>
            </w:r>
            <w:commentRangeStart w:id="4"/>
            <w:r w:rsidR="00016537" w:rsidRPr="00F262D1">
              <w:rPr>
                <w:color w:val="000000"/>
                <w:sz w:val="20"/>
              </w:rPr>
              <w:t xml:space="preserve">Optional: complete inventory log.  </w:t>
            </w:r>
            <w:r w:rsidRPr="00F262D1">
              <w:rPr>
                <w:color w:val="000000"/>
                <w:sz w:val="20"/>
              </w:rPr>
              <w:t xml:space="preserve">  </w:t>
            </w:r>
            <w:commentRangeEnd w:id="4"/>
            <w:r w:rsidR="00581E89" w:rsidRPr="00F262D1">
              <w:rPr>
                <w:rStyle w:val="CommentReference"/>
                <w:sz w:val="14"/>
                <w:szCs w:val="20"/>
              </w:rPr>
              <w:commentReference w:id="4"/>
            </w:r>
          </w:p>
        </w:tc>
        <w:tc>
          <w:tcPr>
            <w:tcW w:w="1440" w:type="dxa"/>
          </w:tcPr>
          <w:p w14:paraId="5F81BF6A" w14:textId="77777777" w:rsidR="00BC39F7" w:rsidRPr="003F7805" w:rsidRDefault="00BC39F7" w:rsidP="003F7805">
            <w:pPr>
              <w:spacing w:after="0" w:line="240" w:lineRule="auto"/>
              <w:rPr>
                <w:rFonts w:cs="Calibri"/>
                <w:color w:val="000000"/>
              </w:rPr>
            </w:pPr>
          </w:p>
        </w:tc>
        <w:tc>
          <w:tcPr>
            <w:tcW w:w="3893" w:type="dxa"/>
          </w:tcPr>
          <w:p w14:paraId="0F993408" w14:textId="77777777" w:rsidR="00BC39F7" w:rsidRPr="003F7805" w:rsidRDefault="00BC39F7" w:rsidP="003F7805">
            <w:pPr>
              <w:spacing w:after="0" w:line="240" w:lineRule="auto"/>
              <w:rPr>
                <w:rFonts w:cs="Calibri"/>
                <w:color w:val="000000"/>
              </w:rPr>
            </w:pPr>
          </w:p>
        </w:tc>
      </w:tr>
      <w:tr w:rsidR="00E45635" w:rsidRPr="003F7805" w14:paraId="3C92A57C" w14:textId="77777777" w:rsidTr="00016537">
        <w:trPr>
          <w:trHeight w:val="930"/>
        </w:trPr>
        <w:tc>
          <w:tcPr>
            <w:tcW w:w="517" w:type="dxa"/>
            <w:noWrap/>
          </w:tcPr>
          <w:p w14:paraId="25840894" w14:textId="77777777" w:rsidR="00E45635" w:rsidRPr="003F7805" w:rsidRDefault="00E45635" w:rsidP="003F7805">
            <w:pPr>
              <w:spacing w:after="0" w:line="240" w:lineRule="auto"/>
            </w:pPr>
            <w:r>
              <w:t>8</w:t>
            </w:r>
          </w:p>
        </w:tc>
        <w:tc>
          <w:tcPr>
            <w:tcW w:w="5130" w:type="dxa"/>
          </w:tcPr>
          <w:p w14:paraId="0CFBE734" w14:textId="0FBCF466" w:rsidR="00E45635" w:rsidRPr="00016537" w:rsidRDefault="00301F65" w:rsidP="003F7805">
            <w:pPr>
              <w:spacing w:after="0" w:line="240" w:lineRule="auto"/>
              <w:rPr>
                <w:color w:val="000000"/>
              </w:rPr>
            </w:pPr>
            <w:r w:rsidRPr="00586DA1">
              <w:rPr>
                <w:b/>
                <w:color w:val="000000"/>
              </w:rPr>
              <w:t xml:space="preserve">Ship </w:t>
            </w:r>
            <w:r w:rsidRPr="00586DA1">
              <w:rPr>
                <w:b/>
                <w:color w:val="000000"/>
                <w:u w:val="single"/>
              </w:rPr>
              <w:t>certified copies</w:t>
            </w:r>
            <w:r w:rsidRPr="00586DA1">
              <w:rPr>
                <w:b/>
                <w:color w:val="000000"/>
              </w:rPr>
              <w:t xml:space="preserve"> of the participant study records to the receiving site via courier or overnight mail service.</w:t>
            </w:r>
            <w:r w:rsidRPr="00EC55E2">
              <w:rPr>
                <w:color w:val="000000"/>
              </w:rPr>
              <w:t xml:space="preserve">  </w:t>
            </w:r>
            <w:r w:rsidR="00016537" w:rsidRPr="00D1750E">
              <w:rPr>
                <w:color w:val="000000"/>
                <w:sz w:val="20"/>
              </w:rPr>
              <w:t xml:space="preserve">(NOTE: </w:t>
            </w:r>
            <w:r w:rsidRPr="00D1750E">
              <w:rPr>
                <w:color w:val="000000"/>
                <w:sz w:val="20"/>
              </w:rPr>
              <w:t xml:space="preserve">Copies of participant-specific records maintained in the transferring site pharmacy must be delivered directly to the receiving site pharmacy, </w:t>
            </w:r>
            <w:r w:rsidRPr="00D1750E">
              <w:rPr>
                <w:b/>
                <w:color w:val="000000"/>
                <w:sz w:val="20"/>
              </w:rPr>
              <w:t>separate</w:t>
            </w:r>
            <w:r w:rsidRPr="00D1750E">
              <w:rPr>
                <w:color w:val="000000"/>
                <w:sz w:val="20"/>
              </w:rPr>
              <w:t xml:space="preserve"> from the participant’s clinic records.  </w:t>
            </w:r>
            <w:r w:rsidRPr="00D1750E">
              <w:rPr>
                <w:sz w:val="20"/>
              </w:rPr>
              <w:t>Pharmacy records may not be delivered in the same shipping envelope or carton as the clinic records.</w:t>
            </w:r>
            <w:r w:rsidR="00016537" w:rsidRPr="00D1750E">
              <w:rPr>
                <w:sz w:val="20"/>
              </w:rPr>
              <w:t>)</w:t>
            </w:r>
            <w:r w:rsidRPr="00D1750E">
              <w:rPr>
                <w:sz w:val="20"/>
              </w:rPr>
              <w:t xml:space="preserve">  </w:t>
            </w:r>
            <w:r w:rsidRPr="00D1750E">
              <w:rPr>
                <w:color w:val="000000"/>
                <w:sz w:val="20"/>
              </w:rPr>
              <w:t xml:space="preserve">The transferring site </w:t>
            </w:r>
            <w:r w:rsidRPr="00D1750E">
              <w:rPr>
                <w:sz w:val="20"/>
              </w:rPr>
              <w:t xml:space="preserve">(clinic and pharmacy) </w:t>
            </w:r>
            <w:r w:rsidRPr="00D1750E">
              <w:rPr>
                <w:color w:val="000000"/>
                <w:sz w:val="20"/>
              </w:rPr>
              <w:t xml:space="preserve">will document all materials sent to the receiving site and inform the receiving site of the shipment date and expected arrival date.  The receiving site </w:t>
            </w:r>
            <w:r w:rsidRPr="00D1750E">
              <w:rPr>
                <w:sz w:val="20"/>
              </w:rPr>
              <w:t xml:space="preserve">(clinic and pharmacy) </w:t>
            </w:r>
            <w:r w:rsidRPr="00D1750E">
              <w:rPr>
                <w:color w:val="000000"/>
                <w:sz w:val="20"/>
              </w:rPr>
              <w:t>will confirm receipt of the shipment.</w:t>
            </w:r>
          </w:p>
        </w:tc>
        <w:tc>
          <w:tcPr>
            <w:tcW w:w="1440" w:type="dxa"/>
          </w:tcPr>
          <w:p w14:paraId="36E17894" w14:textId="77777777" w:rsidR="00E45635" w:rsidRPr="003F7805" w:rsidRDefault="00E45635" w:rsidP="003F7805">
            <w:pPr>
              <w:spacing w:after="0" w:line="240" w:lineRule="auto"/>
              <w:rPr>
                <w:rFonts w:cs="Calibri"/>
                <w:color w:val="000000"/>
              </w:rPr>
            </w:pPr>
          </w:p>
        </w:tc>
        <w:tc>
          <w:tcPr>
            <w:tcW w:w="3893" w:type="dxa"/>
          </w:tcPr>
          <w:p w14:paraId="02DB9292" w14:textId="77777777" w:rsidR="00E45635" w:rsidRPr="003F7805" w:rsidRDefault="00E45635" w:rsidP="003F7805">
            <w:pPr>
              <w:spacing w:after="0" w:line="240" w:lineRule="auto"/>
              <w:rPr>
                <w:rFonts w:cs="Calibri"/>
                <w:color w:val="000000"/>
              </w:rPr>
            </w:pPr>
          </w:p>
        </w:tc>
      </w:tr>
      <w:tr w:rsidR="00586DA1" w:rsidRPr="003F7805" w14:paraId="199DFBF2" w14:textId="77777777" w:rsidTr="00AE19F6">
        <w:trPr>
          <w:trHeight w:val="363"/>
        </w:trPr>
        <w:tc>
          <w:tcPr>
            <w:tcW w:w="517" w:type="dxa"/>
            <w:noWrap/>
          </w:tcPr>
          <w:p w14:paraId="37D589B6" w14:textId="5CD732AD" w:rsidR="00586DA1" w:rsidRDefault="00586DA1" w:rsidP="003F7805">
            <w:pPr>
              <w:spacing w:after="0" w:line="240" w:lineRule="auto"/>
            </w:pPr>
            <w:r>
              <w:t>9</w:t>
            </w:r>
          </w:p>
        </w:tc>
        <w:tc>
          <w:tcPr>
            <w:tcW w:w="5130" w:type="dxa"/>
          </w:tcPr>
          <w:p w14:paraId="1610D8F8" w14:textId="364AC4FB" w:rsidR="00586DA1" w:rsidRPr="006B22BA" w:rsidRDefault="00AE19F6" w:rsidP="00AE19F6">
            <w:pPr>
              <w:pStyle w:val="BodyTextBullet1"/>
              <w:keepLines/>
              <w:tabs>
                <w:tab w:val="clear" w:pos="1440"/>
              </w:tabs>
              <w:spacing w:after="0"/>
              <w:ind w:left="0" w:firstLine="0"/>
              <w:rPr>
                <w:rFonts w:asciiTheme="minorHAnsi" w:hAnsiTheme="minorHAnsi"/>
                <w:b/>
                <w:color w:val="000000"/>
                <w:szCs w:val="22"/>
              </w:rPr>
            </w:pPr>
            <w:r w:rsidRPr="006B22BA">
              <w:rPr>
                <w:rFonts w:asciiTheme="minorHAnsi" w:hAnsiTheme="minorHAnsi"/>
                <w:b/>
                <w:color w:val="000000"/>
                <w:szCs w:val="22"/>
              </w:rPr>
              <w:t>Complete and fax a Participant Transfer CRF.</w:t>
            </w:r>
          </w:p>
        </w:tc>
        <w:tc>
          <w:tcPr>
            <w:tcW w:w="1440" w:type="dxa"/>
          </w:tcPr>
          <w:p w14:paraId="1F60715F" w14:textId="77777777" w:rsidR="00586DA1" w:rsidRPr="003F7805" w:rsidRDefault="00586DA1" w:rsidP="003F7805">
            <w:pPr>
              <w:spacing w:after="0" w:line="240" w:lineRule="auto"/>
              <w:rPr>
                <w:rFonts w:cs="Calibri"/>
                <w:color w:val="000000"/>
              </w:rPr>
            </w:pPr>
          </w:p>
        </w:tc>
        <w:tc>
          <w:tcPr>
            <w:tcW w:w="3893" w:type="dxa"/>
          </w:tcPr>
          <w:p w14:paraId="51EA03BB" w14:textId="77777777" w:rsidR="00586DA1" w:rsidRPr="003F7805" w:rsidRDefault="00586DA1" w:rsidP="003F7805">
            <w:pPr>
              <w:spacing w:after="0" w:line="240" w:lineRule="auto"/>
              <w:rPr>
                <w:rFonts w:cs="Calibri"/>
                <w:color w:val="000000"/>
              </w:rPr>
            </w:pPr>
          </w:p>
        </w:tc>
      </w:tr>
    </w:tbl>
    <w:p w14:paraId="5F9C4D69" w14:textId="77777777" w:rsidR="00AE19F6" w:rsidRDefault="00AE19F6" w:rsidP="00AE19F6">
      <w:pPr>
        <w:pStyle w:val="BodyTextBullet1"/>
        <w:keepLines/>
        <w:tabs>
          <w:tab w:val="clear" w:pos="1440"/>
        </w:tabs>
        <w:spacing w:after="0"/>
        <w:ind w:left="-720" w:firstLine="0"/>
      </w:pPr>
    </w:p>
    <w:p w14:paraId="31B1CD50" w14:textId="743DCA91" w:rsidR="00BC39F7" w:rsidRPr="00521080" w:rsidRDefault="00AE19F6" w:rsidP="00521080">
      <w:pPr>
        <w:pStyle w:val="BodyTextBullet1"/>
        <w:keepLines/>
        <w:tabs>
          <w:tab w:val="clear" w:pos="1440"/>
        </w:tabs>
        <w:spacing w:after="0"/>
        <w:ind w:left="-720" w:right="-990" w:firstLine="0"/>
        <w:rPr>
          <w:rFonts w:ascii="Arial Narrow" w:hAnsi="Arial Narrow"/>
          <w:b/>
          <w:sz w:val="18"/>
          <w:szCs w:val="22"/>
        </w:rPr>
      </w:pPr>
      <w:r w:rsidRPr="00521080">
        <w:rPr>
          <w:rFonts w:ascii="Arial Narrow" w:hAnsi="Arial Narrow"/>
          <w:sz w:val="18"/>
        </w:rPr>
        <w:t xml:space="preserve">**Note: </w:t>
      </w:r>
      <w:r w:rsidRPr="00521080">
        <w:rPr>
          <w:rFonts w:ascii="Arial Narrow" w:hAnsi="Arial Narrow"/>
          <w:sz w:val="18"/>
          <w:szCs w:val="22"/>
        </w:rPr>
        <w:t>The transferring site should maintain all original study documents on site according to study record retention requirements. The transferring site will retain responsibility for storage, and shipment to the MTN LC, if applicable, of all specimens collected from the participant prior to her transfer, unless otherwise instructed by the MTN LC.</w:t>
      </w:r>
    </w:p>
    <w:sectPr w:rsidR="00BC39F7" w:rsidRPr="00521080" w:rsidSect="001F6834">
      <w:headerReference w:type="default" r:id="rId10"/>
      <w:footerReference w:type="default" r:id="rId11"/>
      <w:pgSz w:w="12240" w:h="15840"/>
      <w:pgMar w:top="1256" w:right="1440" w:bottom="1080" w:left="1440" w:header="720" w:footer="255"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shley Mayo" w:date="2014-03-26T10:48:00Z" w:initials="AM">
    <w:p w14:paraId="127661F9" w14:textId="2D535B9B" w:rsidR="00581E89" w:rsidRDefault="00581E89">
      <w:pPr>
        <w:pStyle w:val="CommentText"/>
      </w:pPr>
      <w:r>
        <w:rPr>
          <w:rStyle w:val="CommentReference"/>
        </w:rPr>
        <w:annotationRef/>
      </w:r>
      <w:r w:rsidRPr="00837403">
        <w:t>Note: It is important for the study staff to ensure that the participant is fully aware of the location of the receiving site and that she will be able to visit the new study site with ease.</w:t>
      </w:r>
      <w:r w:rsidR="00837403">
        <w:t xml:space="preserve">  Also consider language availability/fluency at the receiving site.</w:t>
      </w:r>
    </w:p>
  </w:comment>
  <w:comment w:id="2" w:author="Ashley Mayo" w:date="2014-03-26T10:49:00Z" w:initials="AM">
    <w:p w14:paraId="41D44709" w14:textId="71EE15E2" w:rsidR="00581E89" w:rsidRDefault="00581E89">
      <w:pPr>
        <w:pStyle w:val="CommentText"/>
      </w:pPr>
      <w:r>
        <w:rPr>
          <w:rStyle w:val="CommentReference"/>
        </w:rPr>
        <w:annotationRef/>
      </w:r>
      <w:r w:rsidR="00837403">
        <w:t xml:space="preserve">Note: </w:t>
      </w:r>
      <w:r>
        <w:t>You may offer the participant a copy of this</w:t>
      </w:r>
      <w:r w:rsidR="00837403">
        <w:t xml:space="preserve"> written permission</w:t>
      </w:r>
      <w:r>
        <w:t xml:space="preserve">, but this is not required.  </w:t>
      </w:r>
    </w:p>
  </w:comment>
  <w:comment w:id="3" w:author="Ashley Mayo" w:date="2014-03-26T10:53:00Z" w:initials="AM">
    <w:p w14:paraId="16ED346A" w14:textId="54B4CC4C" w:rsidR="00837403" w:rsidRDefault="00837403" w:rsidP="00837403">
      <w:pPr>
        <w:pStyle w:val="CommentText"/>
      </w:pPr>
      <w:r>
        <w:rPr>
          <w:rStyle w:val="CommentReference"/>
        </w:rPr>
        <w:annotationRef/>
      </w:r>
      <w:r>
        <w:t>Note: In terms of essential documents (PTID-Name Link Log, Randomization, Screening and Enrollment Log), SCHARP and FHI 360 discussed and agree that it is not necessary to make copies of these documents to be sent, as the participant has already been randomized and screened/enrolled and the original documentation will be maintained at the transferring site.</w:t>
      </w:r>
    </w:p>
    <w:p w14:paraId="25009064" w14:textId="77777777" w:rsidR="00837403" w:rsidRDefault="00837403" w:rsidP="00837403">
      <w:pPr>
        <w:pStyle w:val="CommentText"/>
      </w:pPr>
    </w:p>
    <w:p w14:paraId="44012D87" w14:textId="0B6A89EF" w:rsidR="00837403" w:rsidRDefault="00837403" w:rsidP="00837403">
      <w:pPr>
        <w:pStyle w:val="CommentText"/>
      </w:pPr>
      <w:r>
        <w:t xml:space="preserve">For the PTID-Name link log, we think the most straightforward option would be that the receiving site add the transferred participant to their PTID-name link log by attaching a NTF to this log with this information.  </w:t>
      </w:r>
    </w:p>
  </w:comment>
  <w:comment w:id="4" w:author="Ashley Mayo" w:date="2014-03-26T10:50:00Z" w:initials="AM">
    <w:p w14:paraId="17C7C2CB" w14:textId="29192349" w:rsidR="00581E89" w:rsidRDefault="00581E89" w:rsidP="00581E89">
      <w:pPr>
        <w:pStyle w:val="CommentText"/>
      </w:pPr>
      <w:r>
        <w:rPr>
          <w:rStyle w:val="CommentReference"/>
        </w:rPr>
        <w:annotationRef/>
      </w:r>
      <w:r w:rsidR="00837403">
        <w:t>Note</w:t>
      </w:r>
      <w:r>
        <w:t xml:space="preserve">: We developed an ‘inventory log’ based off of what </w:t>
      </w:r>
      <w:proofErr w:type="spellStart"/>
      <w:r>
        <w:t>Aren</w:t>
      </w:r>
      <w:proofErr w:type="spellEnd"/>
      <w:r>
        <w:t xml:space="preserve"> had distributed to the </w:t>
      </w:r>
      <w:proofErr w:type="spellStart"/>
      <w:r>
        <w:t>IoR</w:t>
      </w:r>
      <w:proofErr w:type="spellEnd"/>
      <w:r>
        <w:t xml:space="preserve"> listserv.  What we propose is that this be an </w:t>
      </w:r>
      <w:r w:rsidRPr="00E778AF">
        <w:rPr>
          <w:u w:val="single"/>
        </w:rPr>
        <w:t>optional</w:t>
      </w:r>
      <w:r>
        <w:t xml:space="preserve"> tool, for sites to use if they </w:t>
      </w:r>
      <w:r w:rsidR="00837403">
        <w:t>find</w:t>
      </w:r>
      <w:r>
        <w:t xml:space="preserve"> it helpful as a ‘double-check’ as they make the certified copy of the binder.  Alternatively, we think it would be fine for the transferring site to instead just provide </w:t>
      </w:r>
      <w:r w:rsidRPr="006B22BA">
        <w:rPr>
          <w:i/>
        </w:rPr>
        <w:t>summary</w:t>
      </w:r>
      <w:r>
        <w:t xml:space="preserve"> information about what was copied.  At a minimum, </w:t>
      </w:r>
      <w:r w:rsidR="00837403">
        <w:t xml:space="preserve">we think </w:t>
      </w:r>
      <w:r>
        <w:t xml:space="preserve">the following should be noted:  </w:t>
      </w:r>
    </w:p>
    <w:p w14:paraId="65889B9E" w14:textId="77777777" w:rsidR="00581E89" w:rsidRDefault="00581E89" w:rsidP="00581E89">
      <w:pPr>
        <w:pStyle w:val="CommentText"/>
      </w:pPr>
    </w:p>
    <w:p w14:paraId="44C6ED3E" w14:textId="77777777" w:rsidR="00581E89" w:rsidRDefault="00581E89" w:rsidP="00581E89">
      <w:r w:rsidRPr="00C8251E">
        <w:rPr>
          <w:b/>
        </w:rPr>
        <w:t>Highest Visit Month Completed</w:t>
      </w:r>
      <w:proofErr w:type="gramStart"/>
      <w:r>
        <w:t>:</w:t>
      </w:r>
      <w:r w:rsidRPr="006B22BA">
        <w:t>_</w:t>
      </w:r>
      <w:proofErr w:type="gramEnd"/>
      <w:r w:rsidRPr="006B22BA">
        <w:t>________</w:t>
      </w:r>
    </w:p>
    <w:p w14:paraId="17E242C2" w14:textId="446691A8" w:rsidR="00C8251E" w:rsidRPr="00C8251E" w:rsidRDefault="00C8251E" w:rsidP="00C8251E">
      <w:r w:rsidRPr="00C8251E">
        <w:rPr>
          <w:b/>
        </w:rPr>
        <w:t xml:space="preserve">Highest Page # of Each </w:t>
      </w:r>
      <w:r w:rsidRPr="00C8251E">
        <w:rPr>
          <w:b/>
          <w:u w:val="single"/>
        </w:rPr>
        <w:t>Log</w:t>
      </w:r>
      <w:r w:rsidRPr="00C8251E">
        <w:rPr>
          <w:b/>
        </w:rPr>
        <w:t xml:space="preserve"> CRF</w:t>
      </w:r>
      <w:r>
        <w:t>:</w:t>
      </w:r>
    </w:p>
    <w:p w14:paraId="5E27C32C" w14:textId="5DA0F7C4" w:rsidR="00C8251E" w:rsidRPr="00923285" w:rsidRDefault="00C8251E" w:rsidP="00C8251E">
      <w:pPr>
        <w:ind w:left="522" w:hanging="450"/>
        <w:rPr>
          <w:lang w:val="fr-FR"/>
        </w:rPr>
      </w:pPr>
      <w:proofErr w:type="spellStart"/>
      <w:r w:rsidRPr="00923285">
        <w:rPr>
          <w:lang w:val="fr-FR"/>
        </w:rPr>
        <w:t>Pre-existing</w:t>
      </w:r>
      <w:proofErr w:type="spellEnd"/>
      <w:r w:rsidRPr="00923285">
        <w:rPr>
          <w:lang w:val="fr-FR"/>
        </w:rPr>
        <w:t xml:space="preserve"> Conditions (PRE-1), pages:____</w:t>
      </w:r>
    </w:p>
    <w:p w14:paraId="36775FC1" w14:textId="034E00A2" w:rsidR="00C8251E" w:rsidRPr="00923285" w:rsidRDefault="00C8251E" w:rsidP="00C8251E">
      <w:pPr>
        <w:ind w:left="522" w:hanging="450"/>
        <w:rPr>
          <w:lang w:val="fr-FR"/>
        </w:rPr>
      </w:pPr>
      <w:r w:rsidRPr="00923285">
        <w:rPr>
          <w:lang w:val="fr-FR"/>
        </w:rPr>
        <w:t xml:space="preserve">Concomitant </w:t>
      </w:r>
      <w:r w:rsidRPr="00F94B31">
        <w:t>Medications</w:t>
      </w:r>
      <w:r w:rsidRPr="00923285">
        <w:rPr>
          <w:lang w:val="fr-FR"/>
        </w:rPr>
        <w:t xml:space="preserve"> Log (CM-1), pages:____</w:t>
      </w:r>
    </w:p>
    <w:p w14:paraId="1CA130C1" w14:textId="627B05F0" w:rsidR="00C8251E" w:rsidRPr="00923285" w:rsidRDefault="00C8251E" w:rsidP="00C8251E">
      <w:pPr>
        <w:ind w:left="522" w:hanging="450"/>
        <w:rPr>
          <w:lang w:val="fr-FR"/>
        </w:rPr>
      </w:pPr>
      <w:r w:rsidRPr="00923285">
        <w:rPr>
          <w:lang w:val="fr-FR"/>
        </w:rPr>
        <w:t xml:space="preserve">Adverse </w:t>
      </w:r>
      <w:proofErr w:type="spellStart"/>
      <w:r w:rsidRPr="00923285">
        <w:rPr>
          <w:lang w:val="fr-FR"/>
        </w:rPr>
        <w:t>Experience</w:t>
      </w:r>
      <w:proofErr w:type="spellEnd"/>
      <w:r w:rsidRPr="00923285">
        <w:rPr>
          <w:lang w:val="fr-FR"/>
        </w:rPr>
        <w:t xml:space="preserve"> Log (AE-1), pages:____</w:t>
      </w:r>
    </w:p>
    <w:p w14:paraId="6ED81415" w14:textId="249FC625" w:rsidR="00C8251E" w:rsidRPr="00923285" w:rsidRDefault="00C8251E" w:rsidP="00C8251E">
      <w:pPr>
        <w:ind w:left="522" w:hanging="450"/>
        <w:rPr>
          <w:lang w:val="fr-FR"/>
        </w:rPr>
      </w:pPr>
      <w:r w:rsidRPr="00923285">
        <w:rPr>
          <w:lang w:val="fr-FR"/>
        </w:rPr>
        <w:t xml:space="preserve">Grade 1 Adverse </w:t>
      </w:r>
      <w:r w:rsidRPr="00FA6715">
        <w:t>Experience</w:t>
      </w:r>
      <w:r w:rsidRPr="00923285">
        <w:rPr>
          <w:lang w:val="fr-FR"/>
        </w:rPr>
        <w:t xml:space="preserve"> Log (GAE-1), pages:____</w:t>
      </w:r>
    </w:p>
    <w:p w14:paraId="72875DC4" w14:textId="208150E3" w:rsidR="00C8251E" w:rsidRPr="00923285" w:rsidRDefault="00C8251E" w:rsidP="00C8251E">
      <w:pPr>
        <w:ind w:left="522" w:hanging="450"/>
        <w:rPr>
          <w:lang w:val="fr-FR"/>
        </w:rPr>
      </w:pPr>
      <w:r w:rsidRPr="00923285">
        <w:rPr>
          <w:lang w:val="fr-FR"/>
        </w:rPr>
        <w:t xml:space="preserve">Product </w:t>
      </w:r>
      <w:proofErr w:type="spellStart"/>
      <w:r w:rsidRPr="00923285">
        <w:rPr>
          <w:lang w:val="fr-FR"/>
        </w:rPr>
        <w:t>Hold</w:t>
      </w:r>
      <w:proofErr w:type="spellEnd"/>
      <w:r w:rsidRPr="00923285">
        <w:rPr>
          <w:lang w:val="fr-FR"/>
        </w:rPr>
        <w:t>/Discontinuation Log (PH-1), pages:____</w:t>
      </w:r>
    </w:p>
    <w:p w14:paraId="4E251706" w14:textId="1C08C6F8" w:rsidR="00C8251E" w:rsidRPr="00923285" w:rsidRDefault="00C8251E" w:rsidP="00C8251E">
      <w:pPr>
        <w:ind w:left="522" w:hanging="450"/>
        <w:rPr>
          <w:lang w:val="fr-FR"/>
        </w:rPr>
      </w:pPr>
      <w:r w:rsidRPr="00923285">
        <w:rPr>
          <w:lang w:val="fr-FR"/>
        </w:rPr>
        <w:t>Social Impact Log (SIL-1), pages:____</w:t>
      </w:r>
    </w:p>
    <w:p w14:paraId="72A9C41F" w14:textId="1C921585" w:rsidR="00C8251E" w:rsidRPr="00C8251E" w:rsidRDefault="00C8251E" w:rsidP="00C8251E">
      <w:pPr>
        <w:ind w:left="522" w:hanging="450"/>
        <w:rPr>
          <w:lang w:val="fr-FR"/>
        </w:rPr>
      </w:pPr>
      <w:r w:rsidRPr="00923285">
        <w:rPr>
          <w:lang w:val="fr-FR"/>
        </w:rPr>
        <w:t xml:space="preserve">Protocol </w:t>
      </w:r>
      <w:proofErr w:type="spellStart"/>
      <w:r w:rsidRPr="00923285">
        <w:rPr>
          <w:lang w:val="fr-FR"/>
        </w:rPr>
        <w:t>Deviations</w:t>
      </w:r>
      <w:proofErr w:type="spellEnd"/>
      <w:r w:rsidRPr="00923285">
        <w:rPr>
          <w:lang w:val="fr-FR"/>
        </w:rPr>
        <w:t xml:space="preserve"> Log (PDL-1), pages:____</w:t>
      </w:r>
    </w:p>
    <w:p w14:paraId="1E882C22" w14:textId="77777777" w:rsidR="00581E89" w:rsidRPr="006B22BA" w:rsidRDefault="00581E89" w:rsidP="00581E89">
      <w:r w:rsidRPr="00C8251E">
        <w:rPr>
          <w:b/>
        </w:rPr>
        <w:t>Missed Visits (if applicable):</w:t>
      </w:r>
      <w:r w:rsidRPr="006B22BA">
        <w:t>_____________</w:t>
      </w:r>
    </w:p>
    <w:p w14:paraId="6911C833" w14:textId="77777777" w:rsidR="00581E89" w:rsidRPr="006B22BA" w:rsidRDefault="00581E89" w:rsidP="00581E89">
      <w:r w:rsidRPr="00C8251E">
        <w:rPr>
          <w:b/>
        </w:rPr>
        <w:t>Interim Visits (if applicable):</w:t>
      </w:r>
      <w:r w:rsidRPr="006B22BA">
        <w:t xml:space="preserve"> </w:t>
      </w:r>
      <w:r w:rsidRPr="006B22BA">
        <w:softHyphen/>
      </w:r>
      <w:r w:rsidRPr="006B22BA">
        <w:softHyphen/>
      </w:r>
      <w:r w:rsidRPr="006B22BA">
        <w:softHyphen/>
      </w:r>
      <w:r w:rsidRPr="006B22BA">
        <w:softHyphen/>
      </w:r>
      <w:r w:rsidRPr="006B22BA">
        <w:softHyphen/>
        <w:t>____________</w:t>
      </w:r>
    </w:p>
    <w:p w14:paraId="6A3A410A" w14:textId="77777777" w:rsidR="00581E89" w:rsidRPr="006B22BA" w:rsidRDefault="00581E89" w:rsidP="00581E89">
      <w:r w:rsidRPr="00C8251E">
        <w:rPr>
          <w:b/>
        </w:rPr>
        <w:t>Total # pages copied:</w:t>
      </w:r>
      <w:r w:rsidRPr="006B22BA">
        <w:t xml:space="preserve"> </w:t>
      </w:r>
      <w:r w:rsidRPr="006B22BA">
        <w:softHyphen/>
      </w:r>
      <w:r w:rsidRPr="006B22BA">
        <w:softHyphen/>
      </w:r>
      <w:r w:rsidRPr="006B22BA">
        <w:softHyphen/>
        <w:t>_________________</w:t>
      </w:r>
    </w:p>
    <w:p w14:paraId="57DE07C7" w14:textId="77777777" w:rsidR="00581E89" w:rsidRDefault="00581E89" w:rsidP="00581E89">
      <w:r w:rsidRPr="00C8251E">
        <w:rPr>
          <w:b/>
        </w:rPr>
        <w:t>Next Visit Target Date</w:t>
      </w:r>
      <w:proofErr w:type="gramStart"/>
      <w:r w:rsidRPr="00C8251E">
        <w:rPr>
          <w:b/>
        </w:rPr>
        <w:t>:</w:t>
      </w:r>
      <w:r w:rsidRPr="006B22BA">
        <w:t>_</w:t>
      </w:r>
      <w:proofErr w:type="gramEnd"/>
      <w:r w:rsidRPr="006B22BA">
        <w:t xml:space="preserve">_______________ </w:t>
      </w:r>
    </w:p>
    <w:p w14:paraId="3A688F0E" w14:textId="77777777" w:rsidR="00581E89" w:rsidRDefault="00581E89">
      <w:pPr>
        <w:pStyle w:val="CommentText"/>
      </w:pPr>
    </w:p>
    <w:p w14:paraId="5CA08DB1" w14:textId="4ED22303" w:rsidR="00837403" w:rsidRDefault="00837403">
      <w:pPr>
        <w:pStyle w:val="CommentText"/>
      </w:pPr>
      <w:r>
        <w:t xml:space="preserve">If you decide </w:t>
      </w:r>
      <w:r w:rsidRPr="00FD3719">
        <w:rPr>
          <w:i/>
        </w:rPr>
        <w:t>not</w:t>
      </w:r>
      <w:r>
        <w:t xml:space="preserve"> to use the separate inventory log, we recommend adding this summary information to this checklist.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7661F9" w15:done="0"/>
  <w15:commentEx w15:paraId="41D44709" w15:done="0"/>
  <w15:commentEx w15:paraId="44012D87" w15:done="0"/>
  <w15:commentEx w15:paraId="5CA08D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1883" w14:textId="77777777" w:rsidR="000967E3" w:rsidRDefault="000967E3" w:rsidP="007E34AA">
      <w:pPr>
        <w:spacing w:after="0" w:line="240" w:lineRule="auto"/>
      </w:pPr>
      <w:r>
        <w:separator/>
      </w:r>
    </w:p>
  </w:endnote>
  <w:endnote w:type="continuationSeparator" w:id="0">
    <w:p w14:paraId="3C9C84CD" w14:textId="77777777" w:rsidR="000967E3" w:rsidRDefault="000967E3" w:rsidP="007E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DA2DB" w14:textId="72A04BD2" w:rsidR="00BC39F7" w:rsidRDefault="00BC39F7">
    <w:pPr>
      <w:pStyle w:val="Footer"/>
    </w:pPr>
    <w:r>
      <w:t xml:space="preserve">MTN-020 </w:t>
    </w:r>
    <w:r w:rsidR="00AE19F6">
      <w:t>Transfer Checklist – Transferring Site, v1.0</w:t>
    </w:r>
    <w:r>
      <w:tab/>
    </w:r>
    <w:r>
      <w:tab/>
    </w:r>
    <w:r w:rsidR="00F262D1">
      <w:t>26</w:t>
    </w:r>
    <w:r w:rsidR="00AE19F6">
      <w:t xml:space="preserve"> March 2014</w:t>
    </w:r>
  </w:p>
  <w:p w14:paraId="469D6D7F" w14:textId="77777777" w:rsidR="00BC39F7" w:rsidRDefault="00BC39F7">
    <w:pPr>
      <w:pStyle w:val="Footer"/>
    </w:pPr>
  </w:p>
  <w:p w14:paraId="207E74FC" w14:textId="77777777" w:rsidR="00BC39F7" w:rsidRDefault="00BC3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FD454" w14:textId="77777777" w:rsidR="000967E3" w:rsidRDefault="000967E3" w:rsidP="007E34AA">
      <w:pPr>
        <w:spacing w:after="0" w:line="240" w:lineRule="auto"/>
      </w:pPr>
      <w:r>
        <w:separator/>
      </w:r>
    </w:p>
  </w:footnote>
  <w:footnote w:type="continuationSeparator" w:id="0">
    <w:p w14:paraId="2E04D7E6" w14:textId="77777777" w:rsidR="000967E3" w:rsidRDefault="000967E3" w:rsidP="007E3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627E5" w14:textId="77777777" w:rsidR="00BC39F7" w:rsidRDefault="00D96341">
    <w:pPr>
      <w:pStyle w:val="Header"/>
      <w:tabs>
        <w:tab w:val="clear" w:pos="9360"/>
        <w:tab w:val="right" w:pos="9990"/>
      </w:tabs>
      <w:ind w:left="-810" w:right="-810"/>
    </w:pPr>
    <w:r>
      <w:t>MTN-020 Transfer Checklist – TRANSFERING SITE</w:t>
    </w:r>
    <w:r>
      <w:tab/>
    </w:r>
    <w:r>
      <w:tab/>
    </w:r>
    <w:r w:rsidR="00BC39F7">
      <w:t>PTID: _</w:t>
    </w:r>
    <w:r w:rsidR="00845A61">
      <w:t>_</w:t>
    </w:r>
    <w:r w:rsidR="00BC39F7">
      <w:t xml:space="preserve"> __ __- __ __ __ __ __- __</w:t>
    </w:r>
    <w:r w:rsidR="00BC39F7">
      <w:tab/>
    </w:r>
    <w:r w:rsidR="00BC39F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0E3"/>
    <w:multiLevelType w:val="hybridMultilevel"/>
    <w:tmpl w:val="2A50BF2A"/>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3F00"/>
    <w:multiLevelType w:val="hybridMultilevel"/>
    <w:tmpl w:val="5524DB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127AA"/>
    <w:multiLevelType w:val="hybridMultilevel"/>
    <w:tmpl w:val="A66ACBB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054177"/>
    <w:multiLevelType w:val="hybridMultilevel"/>
    <w:tmpl w:val="482C474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41C2B"/>
    <w:multiLevelType w:val="hybridMultilevel"/>
    <w:tmpl w:val="96FA60D4"/>
    <w:lvl w:ilvl="0" w:tplc="7ABAACE6">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4FF8597A" w:tentative="1">
      <w:start w:val="1"/>
      <w:numFmt w:val="bullet"/>
      <w:lvlText w:val=""/>
      <w:lvlJc w:val="left"/>
      <w:pPr>
        <w:tabs>
          <w:tab w:val="num" w:pos="2160"/>
        </w:tabs>
        <w:ind w:left="2160" w:hanging="360"/>
      </w:pPr>
      <w:rPr>
        <w:rFonts w:ascii="Wingdings" w:hAnsi="Wingdings" w:hint="default"/>
      </w:rPr>
    </w:lvl>
    <w:lvl w:ilvl="3" w:tplc="264EE01E" w:tentative="1">
      <w:start w:val="1"/>
      <w:numFmt w:val="bullet"/>
      <w:lvlText w:val=""/>
      <w:lvlJc w:val="left"/>
      <w:pPr>
        <w:tabs>
          <w:tab w:val="num" w:pos="2880"/>
        </w:tabs>
        <w:ind w:left="2880" w:hanging="360"/>
      </w:pPr>
      <w:rPr>
        <w:rFonts w:ascii="Symbol" w:hAnsi="Symbol" w:hint="default"/>
      </w:rPr>
    </w:lvl>
    <w:lvl w:ilvl="4" w:tplc="8B96A4FE" w:tentative="1">
      <w:start w:val="1"/>
      <w:numFmt w:val="bullet"/>
      <w:lvlText w:val="o"/>
      <w:lvlJc w:val="left"/>
      <w:pPr>
        <w:tabs>
          <w:tab w:val="num" w:pos="3600"/>
        </w:tabs>
        <w:ind w:left="3600" w:hanging="360"/>
      </w:pPr>
      <w:rPr>
        <w:rFonts w:ascii="Courier New" w:hAnsi="Courier New" w:hint="default"/>
      </w:rPr>
    </w:lvl>
    <w:lvl w:ilvl="5" w:tplc="1AC2FE4E" w:tentative="1">
      <w:start w:val="1"/>
      <w:numFmt w:val="bullet"/>
      <w:lvlText w:val=""/>
      <w:lvlJc w:val="left"/>
      <w:pPr>
        <w:tabs>
          <w:tab w:val="num" w:pos="4320"/>
        </w:tabs>
        <w:ind w:left="4320" w:hanging="360"/>
      </w:pPr>
      <w:rPr>
        <w:rFonts w:ascii="Wingdings" w:hAnsi="Wingdings" w:hint="default"/>
      </w:rPr>
    </w:lvl>
    <w:lvl w:ilvl="6" w:tplc="7BFAB5B0" w:tentative="1">
      <w:start w:val="1"/>
      <w:numFmt w:val="bullet"/>
      <w:lvlText w:val=""/>
      <w:lvlJc w:val="left"/>
      <w:pPr>
        <w:tabs>
          <w:tab w:val="num" w:pos="5040"/>
        </w:tabs>
        <w:ind w:left="5040" w:hanging="360"/>
      </w:pPr>
      <w:rPr>
        <w:rFonts w:ascii="Symbol" w:hAnsi="Symbol" w:hint="default"/>
      </w:rPr>
    </w:lvl>
    <w:lvl w:ilvl="7" w:tplc="9912C5D8" w:tentative="1">
      <w:start w:val="1"/>
      <w:numFmt w:val="bullet"/>
      <w:lvlText w:val="o"/>
      <w:lvlJc w:val="left"/>
      <w:pPr>
        <w:tabs>
          <w:tab w:val="num" w:pos="5760"/>
        </w:tabs>
        <w:ind w:left="5760" w:hanging="360"/>
      </w:pPr>
      <w:rPr>
        <w:rFonts w:ascii="Courier New" w:hAnsi="Courier New" w:hint="default"/>
      </w:rPr>
    </w:lvl>
    <w:lvl w:ilvl="8" w:tplc="7260284A" w:tentative="1">
      <w:start w:val="1"/>
      <w:numFmt w:val="bullet"/>
      <w:lvlText w:val=""/>
      <w:lvlJc w:val="left"/>
      <w:pPr>
        <w:tabs>
          <w:tab w:val="num" w:pos="6480"/>
        </w:tabs>
        <w:ind w:left="6480" w:hanging="360"/>
      </w:pPr>
      <w:rPr>
        <w:rFonts w:ascii="Wingdings" w:hAnsi="Wingdings" w:hint="default"/>
      </w:rPr>
    </w:lvl>
  </w:abstractNum>
  <w:abstractNum w:abstractNumId="5">
    <w:nsid w:val="09577ED4"/>
    <w:multiLevelType w:val="hybridMultilevel"/>
    <w:tmpl w:val="B7A6F1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8D1D31"/>
    <w:multiLevelType w:val="hybridMultilevel"/>
    <w:tmpl w:val="265C23C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72360"/>
    <w:multiLevelType w:val="hybridMultilevel"/>
    <w:tmpl w:val="A37EA6D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51D4F"/>
    <w:multiLevelType w:val="hybridMultilevel"/>
    <w:tmpl w:val="3872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A11287"/>
    <w:multiLevelType w:val="hybridMultilevel"/>
    <w:tmpl w:val="0A04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E17AAC"/>
    <w:multiLevelType w:val="hybridMultilevel"/>
    <w:tmpl w:val="F818463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0134C2"/>
    <w:multiLevelType w:val="hybridMultilevel"/>
    <w:tmpl w:val="662030A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764C74"/>
    <w:multiLevelType w:val="hybridMultilevel"/>
    <w:tmpl w:val="75442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FA227C"/>
    <w:multiLevelType w:val="hybridMultilevel"/>
    <w:tmpl w:val="3E44028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C55AB5"/>
    <w:multiLevelType w:val="hybridMultilevel"/>
    <w:tmpl w:val="16147306"/>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B6066"/>
    <w:multiLevelType w:val="hybridMultilevel"/>
    <w:tmpl w:val="CC66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487A28"/>
    <w:multiLevelType w:val="hybridMultilevel"/>
    <w:tmpl w:val="683EA00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A325D6"/>
    <w:multiLevelType w:val="hybridMultilevel"/>
    <w:tmpl w:val="9298449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642752"/>
    <w:multiLevelType w:val="hybridMultilevel"/>
    <w:tmpl w:val="56940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FA062C"/>
    <w:multiLevelType w:val="hybridMultilevel"/>
    <w:tmpl w:val="69AE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768E0"/>
    <w:multiLevelType w:val="hybridMultilevel"/>
    <w:tmpl w:val="5CFC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6F7272"/>
    <w:multiLevelType w:val="hybridMultilevel"/>
    <w:tmpl w:val="A52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372BD6"/>
    <w:multiLevelType w:val="hybridMultilevel"/>
    <w:tmpl w:val="5F58387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D13D0B"/>
    <w:multiLevelType w:val="hybridMultilevel"/>
    <w:tmpl w:val="3ADEE362"/>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44569F"/>
    <w:multiLevelType w:val="hybridMultilevel"/>
    <w:tmpl w:val="C2885E6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745FFD"/>
    <w:multiLevelType w:val="hybridMultilevel"/>
    <w:tmpl w:val="7E9A8062"/>
    <w:lvl w:ilvl="0" w:tplc="C0F628AA">
      <w:start w:val="1"/>
      <w:numFmt w:val="bullet"/>
      <w:lvlText w:val="r"/>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75273F"/>
    <w:multiLevelType w:val="hybridMultilevel"/>
    <w:tmpl w:val="D25CA990"/>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D6D324C"/>
    <w:multiLevelType w:val="hybridMultilevel"/>
    <w:tmpl w:val="8FFAF9E4"/>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8954FB"/>
    <w:multiLevelType w:val="hybridMultilevel"/>
    <w:tmpl w:val="B50616B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F1A10AF"/>
    <w:multiLevelType w:val="hybridMultilevel"/>
    <w:tmpl w:val="9D46024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57D0BF6"/>
    <w:multiLevelType w:val="hybridMultilevel"/>
    <w:tmpl w:val="2772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193B53"/>
    <w:multiLevelType w:val="hybridMultilevel"/>
    <w:tmpl w:val="C4CC4100"/>
    <w:lvl w:ilvl="0" w:tplc="C0F628AA">
      <w:start w:val="1"/>
      <w:numFmt w:val="bullet"/>
      <w:lvlText w:val="r"/>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600942"/>
    <w:multiLevelType w:val="multilevel"/>
    <w:tmpl w:val="96C4586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3">
    <w:nsid w:val="4BD62651"/>
    <w:multiLevelType w:val="hybridMultilevel"/>
    <w:tmpl w:val="5A364EF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1012D6"/>
    <w:multiLevelType w:val="hybridMultilevel"/>
    <w:tmpl w:val="2C5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200FE5"/>
    <w:multiLevelType w:val="hybridMultilevel"/>
    <w:tmpl w:val="EA148B0C"/>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9808EA"/>
    <w:multiLevelType w:val="hybridMultilevel"/>
    <w:tmpl w:val="6156B17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E77AE7"/>
    <w:multiLevelType w:val="hybridMultilevel"/>
    <w:tmpl w:val="6D8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871958"/>
    <w:multiLevelType w:val="hybridMultilevel"/>
    <w:tmpl w:val="EBA6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736BD0"/>
    <w:multiLevelType w:val="hybridMultilevel"/>
    <w:tmpl w:val="B0F63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6315F0B"/>
    <w:multiLevelType w:val="hybridMultilevel"/>
    <w:tmpl w:val="D3AAB826"/>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C9352E"/>
    <w:multiLevelType w:val="hybridMultilevel"/>
    <w:tmpl w:val="A236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4A29AA"/>
    <w:multiLevelType w:val="hybridMultilevel"/>
    <w:tmpl w:val="1BA04692"/>
    <w:lvl w:ilvl="0" w:tplc="7ABAACE6">
      <w:start w:val="1"/>
      <w:numFmt w:val="bullet"/>
      <w:lvlText w:val=""/>
      <w:lvlJc w:val="left"/>
      <w:pPr>
        <w:tabs>
          <w:tab w:val="num" w:pos="1080"/>
        </w:tabs>
        <w:ind w:left="1080" w:hanging="360"/>
      </w:pPr>
      <w:rPr>
        <w:rFonts w:ascii="Symbol" w:hAnsi="Symbol" w:hint="default"/>
      </w:rPr>
    </w:lvl>
    <w:lvl w:ilvl="1" w:tplc="5F30233E">
      <w:start w:val="1"/>
      <w:numFmt w:val="bullet"/>
      <w:lvlText w:val="o"/>
      <w:lvlJc w:val="left"/>
      <w:pPr>
        <w:tabs>
          <w:tab w:val="num" w:pos="2160"/>
        </w:tabs>
        <w:ind w:left="2160" w:hanging="360"/>
      </w:pPr>
      <w:rPr>
        <w:rFonts w:ascii="Courier New" w:hAnsi="Courier New" w:hint="default"/>
      </w:rPr>
    </w:lvl>
    <w:lvl w:ilvl="2" w:tplc="4FF8597A" w:tentative="1">
      <w:start w:val="1"/>
      <w:numFmt w:val="bullet"/>
      <w:lvlText w:val=""/>
      <w:lvlJc w:val="left"/>
      <w:pPr>
        <w:tabs>
          <w:tab w:val="num" w:pos="2880"/>
        </w:tabs>
        <w:ind w:left="2880" w:hanging="360"/>
      </w:pPr>
      <w:rPr>
        <w:rFonts w:ascii="Wingdings" w:hAnsi="Wingdings" w:hint="default"/>
      </w:rPr>
    </w:lvl>
    <w:lvl w:ilvl="3" w:tplc="264EE01E" w:tentative="1">
      <w:start w:val="1"/>
      <w:numFmt w:val="bullet"/>
      <w:lvlText w:val=""/>
      <w:lvlJc w:val="left"/>
      <w:pPr>
        <w:tabs>
          <w:tab w:val="num" w:pos="3600"/>
        </w:tabs>
        <w:ind w:left="3600" w:hanging="360"/>
      </w:pPr>
      <w:rPr>
        <w:rFonts w:ascii="Symbol" w:hAnsi="Symbol" w:hint="default"/>
      </w:rPr>
    </w:lvl>
    <w:lvl w:ilvl="4" w:tplc="8B96A4FE" w:tentative="1">
      <w:start w:val="1"/>
      <w:numFmt w:val="bullet"/>
      <w:lvlText w:val="o"/>
      <w:lvlJc w:val="left"/>
      <w:pPr>
        <w:tabs>
          <w:tab w:val="num" w:pos="4320"/>
        </w:tabs>
        <w:ind w:left="4320" w:hanging="360"/>
      </w:pPr>
      <w:rPr>
        <w:rFonts w:ascii="Courier New" w:hAnsi="Courier New" w:hint="default"/>
      </w:rPr>
    </w:lvl>
    <w:lvl w:ilvl="5" w:tplc="1AC2FE4E" w:tentative="1">
      <w:start w:val="1"/>
      <w:numFmt w:val="bullet"/>
      <w:lvlText w:val=""/>
      <w:lvlJc w:val="left"/>
      <w:pPr>
        <w:tabs>
          <w:tab w:val="num" w:pos="5040"/>
        </w:tabs>
        <w:ind w:left="5040" w:hanging="360"/>
      </w:pPr>
      <w:rPr>
        <w:rFonts w:ascii="Wingdings" w:hAnsi="Wingdings" w:hint="default"/>
      </w:rPr>
    </w:lvl>
    <w:lvl w:ilvl="6" w:tplc="7BFAB5B0" w:tentative="1">
      <w:start w:val="1"/>
      <w:numFmt w:val="bullet"/>
      <w:lvlText w:val=""/>
      <w:lvlJc w:val="left"/>
      <w:pPr>
        <w:tabs>
          <w:tab w:val="num" w:pos="5760"/>
        </w:tabs>
        <w:ind w:left="5760" w:hanging="360"/>
      </w:pPr>
      <w:rPr>
        <w:rFonts w:ascii="Symbol" w:hAnsi="Symbol" w:hint="default"/>
      </w:rPr>
    </w:lvl>
    <w:lvl w:ilvl="7" w:tplc="9912C5D8" w:tentative="1">
      <w:start w:val="1"/>
      <w:numFmt w:val="bullet"/>
      <w:lvlText w:val="o"/>
      <w:lvlJc w:val="left"/>
      <w:pPr>
        <w:tabs>
          <w:tab w:val="num" w:pos="6480"/>
        </w:tabs>
        <w:ind w:left="6480" w:hanging="360"/>
      </w:pPr>
      <w:rPr>
        <w:rFonts w:ascii="Courier New" w:hAnsi="Courier New" w:hint="default"/>
      </w:rPr>
    </w:lvl>
    <w:lvl w:ilvl="8" w:tplc="7260284A" w:tentative="1">
      <w:start w:val="1"/>
      <w:numFmt w:val="bullet"/>
      <w:lvlText w:val=""/>
      <w:lvlJc w:val="left"/>
      <w:pPr>
        <w:tabs>
          <w:tab w:val="num" w:pos="7200"/>
        </w:tabs>
        <w:ind w:left="7200" w:hanging="360"/>
      </w:pPr>
      <w:rPr>
        <w:rFonts w:ascii="Wingdings" w:hAnsi="Wingdings" w:hint="default"/>
      </w:rPr>
    </w:lvl>
  </w:abstractNum>
  <w:abstractNum w:abstractNumId="43">
    <w:nsid w:val="66FB09D9"/>
    <w:multiLevelType w:val="hybridMultilevel"/>
    <w:tmpl w:val="7ACA03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7335EC0"/>
    <w:multiLevelType w:val="hybridMultilevel"/>
    <w:tmpl w:val="5ECAC93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2514AB"/>
    <w:multiLevelType w:val="hybridMultilevel"/>
    <w:tmpl w:val="43FC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A00335"/>
    <w:multiLevelType w:val="hybridMultilevel"/>
    <w:tmpl w:val="5D1ED95E"/>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CA375D7"/>
    <w:multiLevelType w:val="hybridMultilevel"/>
    <w:tmpl w:val="F0D4A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A339B7"/>
    <w:multiLevelType w:val="hybridMultilevel"/>
    <w:tmpl w:val="CEE603C2"/>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FF18CA"/>
    <w:multiLevelType w:val="hybridMultilevel"/>
    <w:tmpl w:val="782A571C"/>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7B3505"/>
    <w:multiLevelType w:val="hybridMultilevel"/>
    <w:tmpl w:val="83E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5C5061"/>
    <w:multiLevelType w:val="hybridMultilevel"/>
    <w:tmpl w:val="C11AB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4C86FAF"/>
    <w:multiLevelType w:val="hybridMultilevel"/>
    <w:tmpl w:val="B7FA6106"/>
    <w:lvl w:ilvl="0" w:tplc="C0F628AA">
      <w:start w:val="1"/>
      <w:numFmt w:val="bullet"/>
      <w:lvlText w:val="r"/>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51451AB"/>
    <w:multiLevelType w:val="hybridMultilevel"/>
    <w:tmpl w:val="C6E0F492"/>
    <w:lvl w:ilvl="0" w:tplc="C0F628AA">
      <w:start w:val="1"/>
      <w:numFmt w:val="bullet"/>
      <w:lvlText w:val="r"/>
      <w:lvlJc w:val="left"/>
      <w:pPr>
        <w:ind w:left="720" w:hanging="360"/>
      </w:pPr>
      <w:rPr>
        <w:rFonts w:ascii="Wingdings" w:hAnsi="Wingdings" w:hint="default"/>
      </w:rPr>
    </w:lvl>
    <w:lvl w:ilvl="1" w:tplc="C0F628AA">
      <w:start w:val="1"/>
      <w:numFmt w:val="bullet"/>
      <w:lvlText w:val="r"/>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5F33DB9"/>
    <w:multiLevelType w:val="hybridMultilevel"/>
    <w:tmpl w:val="206652A8"/>
    <w:lvl w:ilvl="0" w:tplc="C0F628AA">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DBA2636"/>
    <w:multiLevelType w:val="hybridMultilevel"/>
    <w:tmpl w:val="3EC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4"/>
  </w:num>
  <w:num w:numId="3">
    <w:abstractNumId w:val="11"/>
  </w:num>
  <w:num w:numId="4">
    <w:abstractNumId w:val="24"/>
  </w:num>
  <w:num w:numId="5">
    <w:abstractNumId w:val="14"/>
  </w:num>
  <w:num w:numId="6">
    <w:abstractNumId w:val="46"/>
  </w:num>
  <w:num w:numId="7">
    <w:abstractNumId w:val="47"/>
  </w:num>
  <w:num w:numId="8">
    <w:abstractNumId w:val="20"/>
  </w:num>
  <w:num w:numId="9">
    <w:abstractNumId w:val="5"/>
  </w:num>
  <w:num w:numId="10">
    <w:abstractNumId w:val="48"/>
  </w:num>
  <w:num w:numId="11">
    <w:abstractNumId w:val="40"/>
  </w:num>
  <w:num w:numId="12">
    <w:abstractNumId w:val="21"/>
  </w:num>
  <w:num w:numId="13">
    <w:abstractNumId w:val="38"/>
  </w:num>
  <w:num w:numId="14">
    <w:abstractNumId w:val="44"/>
  </w:num>
  <w:num w:numId="15">
    <w:abstractNumId w:val="3"/>
  </w:num>
  <w:num w:numId="16">
    <w:abstractNumId w:val="10"/>
  </w:num>
  <w:num w:numId="17">
    <w:abstractNumId w:val="7"/>
  </w:num>
  <w:num w:numId="18">
    <w:abstractNumId w:val="52"/>
  </w:num>
  <w:num w:numId="19">
    <w:abstractNumId w:val="33"/>
  </w:num>
  <w:num w:numId="20">
    <w:abstractNumId w:val="35"/>
  </w:num>
  <w:num w:numId="21">
    <w:abstractNumId w:val="53"/>
  </w:num>
  <w:num w:numId="22">
    <w:abstractNumId w:val="28"/>
  </w:num>
  <w:num w:numId="23">
    <w:abstractNumId w:val="55"/>
  </w:num>
  <w:num w:numId="24">
    <w:abstractNumId w:val="36"/>
  </w:num>
  <w:num w:numId="25">
    <w:abstractNumId w:val="19"/>
  </w:num>
  <w:num w:numId="26">
    <w:abstractNumId w:val="26"/>
  </w:num>
  <w:num w:numId="27">
    <w:abstractNumId w:val="25"/>
  </w:num>
  <w:num w:numId="28">
    <w:abstractNumId w:val="0"/>
  </w:num>
  <w:num w:numId="29">
    <w:abstractNumId w:val="13"/>
  </w:num>
  <w:num w:numId="30">
    <w:abstractNumId w:val="39"/>
  </w:num>
  <w:num w:numId="31">
    <w:abstractNumId w:val="9"/>
  </w:num>
  <w:num w:numId="32">
    <w:abstractNumId w:val="1"/>
  </w:num>
  <w:num w:numId="33">
    <w:abstractNumId w:val="18"/>
  </w:num>
  <w:num w:numId="34">
    <w:abstractNumId w:val="41"/>
  </w:num>
  <w:num w:numId="35">
    <w:abstractNumId w:val="8"/>
  </w:num>
  <w:num w:numId="36">
    <w:abstractNumId w:val="51"/>
  </w:num>
  <w:num w:numId="37">
    <w:abstractNumId w:val="32"/>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22"/>
  </w:num>
  <w:num w:numId="50">
    <w:abstractNumId w:val="2"/>
  </w:num>
  <w:num w:numId="51">
    <w:abstractNumId w:val="31"/>
  </w:num>
  <w:num w:numId="52">
    <w:abstractNumId w:val="27"/>
  </w:num>
  <w:num w:numId="53">
    <w:abstractNumId w:val="23"/>
  </w:num>
  <w:num w:numId="54">
    <w:abstractNumId w:val="16"/>
  </w:num>
  <w:num w:numId="55">
    <w:abstractNumId w:val="45"/>
  </w:num>
  <w:num w:numId="56">
    <w:abstractNumId w:val="15"/>
  </w:num>
  <w:num w:numId="57">
    <w:abstractNumId w:val="37"/>
  </w:num>
  <w:num w:numId="58">
    <w:abstractNumId w:val="49"/>
  </w:num>
  <w:num w:numId="59">
    <w:abstractNumId w:val="29"/>
  </w:num>
  <w:num w:numId="60">
    <w:abstractNumId w:val="12"/>
  </w:num>
  <w:num w:numId="61">
    <w:abstractNumId w:val="30"/>
  </w:num>
  <w:num w:numId="62">
    <w:abstractNumId w:val="50"/>
  </w:num>
  <w:num w:numId="63">
    <w:abstractNumId w:val="34"/>
  </w:num>
  <w:num w:numId="64">
    <w:abstractNumId w:val="43"/>
  </w:num>
  <w:num w:numId="65">
    <w:abstractNumId w:val="42"/>
  </w:num>
  <w:num w:numId="66">
    <w:abstractNumId w:val="4"/>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hley Mayo">
    <w15:presenceInfo w15:providerId="AD" w15:userId="S-1-5-21-3803739944-511804359-1636214392-139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F8"/>
    <w:rsid w:val="0000427E"/>
    <w:rsid w:val="00005B44"/>
    <w:rsid w:val="00007E13"/>
    <w:rsid w:val="00015218"/>
    <w:rsid w:val="00016537"/>
    <w:rsid w:val="00016DE5"/>
    <w:rsid w:val="00017B8A"/>
    <w:rsid w:val="0005455C"/>
    <w:rsid w:val="0006609E"/>
    <w:rsid w:val="00071A54"/>
    <w:rsid w:val="000967E3"/>
    <w:rsid w:val="000B0935"/>
    <w:rsid w:val="000C3857"/>
    <w:rsid w:val="000C4DFC"/>
    <w:rsid w:val="000D4DCF"/>
    <w:rsid w:val="000E3311"/>
    <w:rsid w:val="000F0F85"/>
    <w:rsid w:val="000F77EA"/>
    <w:rsid w:val="00101519"/>
    <w:rsid w:val="00107CE0"/>
    <w:rsid w:val="001108D5"/>
    <w:rsid w:val="00124D9D"/>
    <w:rsid w:val="0013452F"/>
    <w:rsid w:val="00146285"/>
    <w:rsid w:val="00156FFD"/>
    <w:rsid w:val="00187D0D"/>
    <w:rsid w:val="001928FE"/>
    <w:rsid w:val="001C6D0F"/>
    <w:rsid w:val="001F60C0"/>
    <w:rsid w:val="001F6834"/>
    <w:rsid w:val="002055DC"/>
    <w:rsid w:val="00206652"/>
    <w:rsid w:val="00211E47"/>
    <w:rsid w:val="00220197"/>
    <w:rsid w:val="00220CD9"/>
    <w:rsid w:val="00226456"/>
    <w:rsid w:val="00264D15"/>
    <w:rsid w:val="002A4ED4"/>
    <w:rsid w:val="002A67D2"/>
    <w:rsid w:val="002B2D61"/>
    <w:rsid w:val="002B3ED9"/>
    <w:rsid w:val="002C1731"/>
    <w:rsid w:val="002C70C5"/>
    <w:rsid w:val="002D2FDE"/>
    <w:rsid w:val="002F349F"/>
    <w:rsid w:val="00301F65"/>
    <w:rsid w:val="00305FE3"/>
    <w:rsid w:val="00311596"/>
    <w:rsid w:val="00335C86"/>
    <w:rsid w:val="0035086B"/>
    <w:rsid w:val="00355158"/>
    <w:rsid w:val="003660D2"/>
    <w:rsid w:val="00373F6F"/>
    <w:rsid w:val="003947DB"/>
    <w:rsid w:val="003B279B"/>
    <w:rsid w:val="003B4E2F"/>
    <w:rsid w:val="003C2A13"/>
    <w:rsid w:val="003E1CF8"/>
    <w:rsid w:val="003E692C"/>
    <w:rsid w:val="003F7805"/>
    <w:rsid w:val="00420202"/>
    <w:rsid w:val="00427CA3"/>
    <w:rsid w:val="004441DD"/>
    <w:rsid w:val="00446E4F"/>
    <w:rsid w:val="00447901"/>
    <w:rsid w:val="004533BC"/>
    <w:rsid w:val="00461847"/>
    <w:rsid w:val="00472BB6"/>
    <w:rsid w:val="004A6242"/>
    <w:rsid w:val="004B0637"/>
    <w:rsid w:val="004C288B"/>
    <w:rsid w:val="004C5FD4"/>
    <w:rsid w:val="0051135F"/>
    <w:rsid w:val="005206AA"/>
    <w:rsid w:val="00521080"/>
    <w:rsid w:val="005232F3"/>
    <w:rsid w:val="00581E89"/>
    <w:rsid w:val="005853F8"/>
    <w:rsid w:val="00585F4A"/>
    <w:rsid w:val="00586DA1"/>
    <w:rsid w:val="00592A99"/>
    <w:rsid w:val="00596E0D"/>
    <w:rsid w:val="005C7A5C"/>
    <w:rsid w:val="005D2D11"/>
    <w:rsid w:val="005D52F8"/>
    <w:rsid w:val="005F02C4"/>
    <w:rsid w:val="005F7FA9"/>
    <w:rsid w:val="006143AF"/>
    <w:rsid w:val="00614A92"/>
    <w:rsid w:val="00635E7C"/>
    <w:rsid w:val="0065379B"/>
    <w:rsid w:val="0066021C"/>
    <w:rsid w:val="00675BC6"/>
    <w:rsid w:val="00683660"/>
    <w:rsid w:val="00685F4F"/>
    <w:rsid w:val="00690711"/>
    <w:rsid w:val="006A606E"/>
    <w:rsid w:val="006B22BA"/>
    <w:rsid w:val="006C3608"/>
    <w:rsid w:val="006D5A09"/>
    <w:rsid w:val="006F310E"/>
    <w:rsid w:val="006F4758"/>
    <w:rsid w:val="00710487"/>
    <w:rsid w:val="00713924"/>
    <w:rsid w:val="0072393C"/>
    <w:rsid w:val="007268B1"/>
    <w:rsid w:val="0072725F"/>
    <w:rsid w:val="007369AA"/>
    <w:rsid w:val="00757B1D"/>
    <w:rsid w:val="00772603"/>
    <w:rsid w:val="0079624B"/>
    <w:rsid w:val="007B01A1"/>
    <w:rsid w:val="007C2460"/>
    <w:rsid w:val="007D5F94"/>
    <w:rsid w:val="007E34AA"/>
    <w:rsid w:val="00802F06"/>
    <w:rsid w:val="00803AF9"/>
    <w:rsid w:val="00804707"/>
    <w:rsid w:val="00814B23"/>
    <w:rsid w:val="00814BD2"/>
    <w:rsid w:val="0082413A"/>
    <w:rsid w:val="008244F3"/>
    <w:rsid w:val="00837403"/>
    <w:rsid w:val="0084594E"/>
    <w:rsid w:val="00845A61"/>
    <w:rsid w:val="0087061B"/>
    <w:rsid w:val="00886074"/>
    <w:rsid w:val="008917EB"/>
    <w:rsid w:val="008A292E"/>
    <w:rsid w:val="008A54F6"/>
    <w:rsid w:val="008C3019"/>
    <w:rsid w:val="008D4BEA"/>
    <w:rsid w:val="008F361E"/>
    <w:rsid w:val="00917E90"/>
    <w:rsid w:val="0092548B"/>
    <w:rsid w:val="00973B00"/>
    <w:rsid w:val="00996794"/>
    <w:rsid w:val="00997CE9"/>
    <w:rsid w:val="009B5F39"/>
    <w:rsid w:val="009D14CC"/>
    <w:rsid w:val="00A126A5"/>
    <w:rsid w:val="00A1452A"/>
    <w:rsid w:val="00A23980"/>
    <w:rsid w:val="00A40392"/>
    <w:rsid w:val="00A41342"/>
    <w:rsid w:val="00A432BF"/>
    <w:rsid w:val="00A45704"/>
    <w:rsid w:val="00A47EA8"/>
    <w:rsid w:val="00A56884"/>
    <w:rsid w:val="00A73551"/>
    <w:rsid w:val="00A928B2"/>
    <w:rsid w:val="00AC7B23"/>
    <w:rsid w:val="00AE19F6"/>
    <w:rsid w:val="00AE5815"/>
    <w:rsid w:val="00AF3FF7"/>
    <w:rsid w:val="00AF4782"/>
    <w:rsid w:val="00AF7503"/>
    <w:rsid w:val="00AF7C2B"/>
    <w:rsid w:val="00B151B3"/>
    <w:rsid w:val="00B3617B"/>
    <w:rsid w:val="00B37BF8"/>
    <w:rsid w:val="00B43F31"/>
    <w:rsid w:val="00B45BEF"/>
    <w:rsid w:val="00B4669B"/>
    <w:rsid w:val="00B61522"/>
    <w:rsid w:val="00B66D93"/>
    <w:rsid w:val="00B77BB5"/>
    <w:rsid w:val="00B80A0B"/>
    <w:rsid w:val="00B84097"/>
    <w:rsid w:val="00B969CC"/>
    <w:rsid w:val="00BC39F7"/>
    <w:rsid w:val="00BC73A6"/>
    <w:rsid w:val="00BD6AFE"/>
    <w:rsid w:val="00BD7E11"/>
    <w:rsid w:val="00C05D38"/>
    <w:rsid w:val="00C11D93"/>
    <w:rsid w:val="00C12EE5"/>
    <w:rsid w:val="00C15D25"/>
    <w:rsid w:val="00C26417"/>
    <w:rsid w:val="00C454AD"/>
    <w:rsid w:val="00C6766D"/>
    <w:rsid w:val="00C811C5"/>
    <w:rsid w:val="00C8251E"/>
    <w:rsid w:val="00C878DC"/>
    <w:rsid w:val="00CE15CE"/>
    <w:rsid w:val="00CF10E7"/>
    <w:rsid w:val="00D02740"/>
    <w:rsid w:val="00D1750E"/>
    <w:rsid w:val="00D36A53"/>
    <w:rsid w:val="00D635E7"/>
    <w:rsid w:val="00D96341"/>
    <w:rsid w:val="00DE6933"/>
    <w:rsid w:val="00DF78A0"/>
    <w:rsid w:val="00E053C0"/>
    <w:rsid w:val="00E07E37"/>
    <w:rsid w:val="00E4242E"/>
    <w:rsid w:val="00E45635"/>
    <w:rsid w:val="00E778AF"/>
    <w:rsid w:val="00E83C62"/>
    <w:rsid w:val="00E94E0C"/>
    <w:rsid w:val="00E97CFE"/>
    <w:rsid w:val="00EA2D28"/>
    <w:rsid w:val="00EB0F14"/>
    <w:rsid w:val="00EB6C28"/>
    <w:rsid w:val="00EF7F7E"/>
    <w:rsid w:val="00F02DC7"/>
    <w:rsid w:val="00F0522E"/>
    <w:rsid w:val="00F12AE4"/>
    <w:rsid w:val="00F179EA"/>
    <w:rsid w:val="00F262D1"/>
    <w:rsid w:val="00F46869"/>
    <w:rsid w:val="00F5074F"/>
    <w:rsid w:val="00F655D0"/>
    <w:rsid w:val="00F7142C"/>
    <w:rsid w:val="00F73374"/>
    <w:rsid w:val="00F846D6"/>
    <w:rsid w:val="00F91C1F"/>
    <w:rsid w:val="00FA0E9D"/>
    <w:rsid w:val="00FA6E10"/>
    <w:rsid w:val="00FC7CAC"/>
    <w:rsid w:val="00FD3719"/>
    <w:rsid w:val="00FD4446"/>
    <w:rsid w:val="00FD6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C2F132"/>
  <w15:docId w15:val="{1BB385F9-EA6E-4A12-981C-7071BD5F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E0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4AA"/>
    <w:pPr>
      <w:ind w:left="720"/>
      <w:contextualSpacing/>
    </w:pPr>
  </w:style>
  <w:style w:type="character" w:styleId="CommentReference">
    <w:name w:val="annotation reference"/>
    <w:basedOn w:val="DefaultParagraphFont"/>
    <w:uiPriority w:val="99"/>
    <w:semiHidden/>
    <w:rsid w:val="007E34AA"/>
    <w:rPr>
      <w:rFonts w:cs="Times New Roman"/>
      <w:sz w:val="16"/>
    </w:rPr>
  </w:style>
  <w:style w:type="paragraph" w:styleId="CommentText">
    <w:name w:val="annotation text"/>
    <w:basedOn w:val="Normal"/>
    <w:link w:val="CommentTextChar"/>
    <w:uiPriority w:val="99"/>
    <w:semiHidden/>
    <w:rsid w:val="007E34A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E34AA"/>
    <w:rPr>
      <w:sz w:val="20"/>
    </w:rPr>
  </w:style>
  <w:style w:type="paragraph" w:styleId="CommentSubject">
    <w:name w:val="annotation subject"/>
    <w:basedOn w:val="CommentText"/>
    <w:next w:val="CommentText"/>
    <w:link w:val="CommentSubjectChar"/>
    <w:uiPriority w:val="99"/>
    <w:semiHidden/>
    <w:rsid w:val="007E34AA"/>
    <w:rPr>
      <w:b/>
      <w:bCs/>
    </w:rPr>
  </w:style>
  <w:style w:type="character" w:customStyle="1" w:styleId="CommentSubjectChar">
    <w:name w:val="Comment Subject Char"/>
    <w:basedOn w:val="CommentTextChar"/>
    <w:link w:val="CommentSubject"/>
    <w:uiPriority w:val="99"/>
    <w:semiHidden/>
    <w:locked/>
    <w:rsid w:val="007E34AA"/>
    <w:rPr>
      <w:b/>
      <w:sz w:val="20"/>
    </w:rPr>
  </w:style>
  <w:style w:type="paragraph" w:styleId="BalloonText">
    <w:name w:val="Balloon Text"/>
    <w:basedOn w:val="Normal"/>
    <w:link w:val="BalloonTextChar"/>
    <w:uiPriority w:val="99"/>
    <w:semiHidden/>
    <w:rsid w:val="007E34AA"/>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E34AA"/>
    <w:rPr>
      <w:rFonts w:ascii="Tahoma" w:hAnsi="Tahoma"/>
      <w:sz w:val="16"/>
    </w:rPr>
  </w:style>
  <w:style w:type="paragraph" w:styleId="Header">
    <w:name w:val="header"/>
    <w:basedOn w:val="Normal"/>
    <w:link w:val="HeaderChar"/>
    <w:uiPriority w:val="99"/>
    <w:rsid w:val="007E34AA"/>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7E34AA"/>
  </w:style>
  <w:style w:type="paragraph" w:styleId="Footer">
    <w:name w:val="footer"/>
    <w:basedOn w:val="Normal"/>
    <w:link w:val="FooterChar"/>
    <w:uiPriority w:val="99"/>
    <w:rsid w:val="007E34AA"/>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7E34AA"/>
  </w:style>
  <w:style w:type="paragraph" w:styleId="BodyTextIndent">
    <w:name w:val="Body Text Indent"/>
    <w:basedOn w:val="Normal"/>
    <w:link w:val="BodyTextIndentChar"/>
    <w:uiPriority w:val="99"/>
    <w:semiHidden/>
    <w:rsid w:val="002B2D61"/>
    <w:pPr>
      <w:spacing w:after="0" w:line="240" w:lineRule="auto"/>
      <w:ind w:left="72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locked/>
    <w:rsid w:val="002B2D61"/>
    <w:rPr>
      <w:rFonts w:ascii="Times New Roman" w:hAnsi="Times New Roman"/>
      <w:sz w:val="24"/>
    </w:rPr>
  </w:style>
  <w:style w:type="table" w:styleId="TableGrid">
    <w:name w:val="Table Grid"/>
    <w:basedOn w:val="TableNormal"/>
    <w:uiPriority w:val="99"/>
    <w:rsid w:val="00814B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7CFE"/>
  </w:style>
  <w:style w:type="paragraph" w:styleId="BodyTextIndent2">
    <w:name w:val="Body Text Indent 2"/>
    <w:basedOn w:val="Normal"/>
    <w:link w:val="BodyTextIndent2Char"/>
    <w:uiPriority w:val="99"/>
    <w:unhideWhenUsed/>
    <w:rsid w:val="00301F65"/>
    <w:pPr>
      <w:spacing w:after="120" w:line="480" w:lineRule="auto"/>
      <w:ind w:left="360"/>
    </w:pPr>
  </w:style>
  <w:style w:type="character" w:customStyle="1" w:styleId="BodyTextIndent2Char">
    <w:name w:val="Body Text Indent 2 Char"/>
    <w:basedOn w:val="DefaultParagraphFont"/>
    <w:link w:val="BodyTextIndent2"/>
    <w:uiPriority w:val="99"/>
    <w:rsid w:val="00301F65"/>
  </w:style>
  <w:style w:type="paragraph" w:customStyle="1" w:styleId="BodyTextBullet1">
    <w:name w:val="Body Text Bullet 1"/>
    <w:basedOn w:val="Normal"/>
    <w:uiPriority w:val="99"/>
    <w:rsid w:val="00301F65"/>
    <w:pPr>
      <w:tabs>
        <w:tab w:val="num" w:pos="1440"/>
      </w:tabs>
      <w:spacing w:after="120" w:line="240" w:lineRule="auto"/>
      <w:ind w:left="1440" w:hanging="36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529383">
      <w:bodyDiv w:val="1"/>
      <w:marLeft w:val="0"/>
      <w:marRight w:val="0"/>
      <w:marTop w:val="0"/>
      <w:marBottom w:val="0"/>
      <w:divBdr>
        <w:top w:val="none" w:sz="0" w:space="0" w:color="auto"/>
        <w:left w:val="none" w:sz="0" w:space="0" w:color="auto"/>
        <w:bottom w:val="none" w:sz="0" w:space="0" w:color="auto"/>
        <w:right w:val="none" w:sz="0" w:space="0" w:color="auto"/>
      </w:divBdr>
    </w:div>
    <w:div w:id="1251350138">
      <w:marLeft w:val="0"/>
      <w:marRight w:val="0"/>
      <w:marTop w:val="0"/>
      <w:marBottom w:val="0"/>
      <w:divBdr>
        <w:top w:val="none" w:sz="0" w:space="0" w:color="auto"/>
        <w:left w:val="none" w:sz="0" w:space="0" w:color="auto"/>
        <w:bottom w:val="none" w:sz="0" w:space="0" w:color="auto"/>
        <w:right w:val="none" w:sz="0" w:space="0" w:color="auto"/>
      </w:divBdr>
    </w:div>
    <w:div w:id="1251350139">
      <w:marLeft w:val="0"/>
      <w:marRight w:val="0"/>
      <w:marTop w:val="0"/>
      <w:marBottom w:val="0"/>
      <w:divBdr>
        <w:top w:val="none" w:sz="0" w:space="0" w:color="auto"/>
        <w:left w:val="none" w:sz="0" w:space="0" w:color="auto"/>
        <w:bottom w:val="none" w:sz="0" w:space="0" w:color="auto"/>
        <w:right w:val="none" w:sz="0" w:space="0" w:color="auto"/>
      </w:divBdr>
    </w:div>
    <w:div w:id="1251350140">
      <w:marLeft w:val="0"/>
      <w:marRight w:val="0"/>
      <w:marTop w:val="0"/>
      <w:marBottom w:val="0"/>
      <w:divBdr>
        <w:top w:val="none" w:sz="0" w:space="0" w:color="auto"/>
        <w:left w:val="none" w:sz="0" w:space="0" w:color="auto"/>
        <w:bottom w:val="none" w:sz="0" w:space="0" w:color="auto"/>
        <w:right w:val="none" w:sz="0" w:space="0" w:color="auto"/>
      </w:divBdr>
    </w:div>
    <w:div w:id="1251350141">
      <w:marLeft w:val="0"/>
      <w:marRight w:val="0"/>
      <w:marTop w:val="0"/>
      <w:marBottom w:val="0"/>
      <w:divBdr>
        <w:top w:val="none" w:sz="0" w:space="0" w:color="auto"/>
        <w:left w:val="none" w:sz="0" w:space="0" w:color="auto"/>
        <w:bottom w:val="none" w:sz="0" w:space="0" w:color="auto"/>
        <w:right w:val="none" w:sz="0" w:space="0" w:color="auto"/>
      </w:divBdr>
    </w:div>
    <w:div w:id="1251350142">
      <w:marLeft w:val="0"/>
      <w:marRight w:val="0"/>
      <w:marTop w:val="0"/>
      <w:marBottom w:val="0"/>
      <w:divBdr>
        <w:top w:val="none" w:sz="0" w:space="0" w:color="auto"/>
        <w:left w:val="none" w:sz="0" w:space="0" w:color="auto"/>
        <w:bottom w:val="none" w:sz="0" w:space="0" w:color="auto"/>
        <w:right w:val="none" w:sz="0" w:space="0" w:color="auto"/>
      </w:divBdr>
    </w:div>
    <w:div w:id="1251350143">
      <w:marLeft w:val="0"/>
      <w:marRight w:val="0"/>
      <w:marTop w:val="0"/>
      <w:marBottom w:val="0"/>
      <w:divBdr>
        <w:top w:val="none" w:sz="0" w:space="0" w:color="auto"/>
        <w:left w:val="none" w:sz="0" w:space="0" w:color="auto"/>
        <w:bottom w:val="none" w:sz="0" w:space="0" w:color="auto"/>
        <w:right w:val="none" w:sz="0" w:space="0" w:color="auto"/>
      </w:divBdr>
    </w:div>
    <w:div w:id="1251350144">
      <w:marLeft w:val="0"/>
      <w:marRight w:val="0"/>
      <w:marTop w:val="0"/>
      <w:marBottom w:val="0"/>
      <w:divBdr>
        <w:top w:val="none" w:sz="0" w:space="0" w:color="auto"/>
        <w:left w:val="none" w:sz="0" w:space="0" w:color="auto"/>
        <w:bottom w:val="none" w:sz="0" w:space="0" w:color="auto"/>
        <w:right w:val="none" w:sz="0" w:space="0" w:color="auto"/>
      </w:divBdr>
    </w:div>
    <w:div w:id="1251350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40C89-60C9-491F-AB18-FABE5D69F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391</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FHI</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Mayo (US - NC)</dc:creator>
  <cp:lastModifiedBy>Ashley Mayo</cp:lastModifiedBy>
  <cp:revision>5</cp:revision>
  <cp:lastPrinted>2014-03-19T22:01:00Z</cp:lastPrinted>
  <dcterms:created xsi:type="dcterms:W3CDTF">2014-03-26T14:57:00Z</dcterms:created>
  <dcterms:modified xsi:type="dcterms:W3CDTF">2014-03-26T15:05:00Z</dcterms:modified>
</cp:coreProperties>
</file>