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DAC88" w14:textId="511600CD" w:rsidR="007E4BFE" w:rsidRDefault="007E4BFE" w:rsidP="00887F91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37617">
        <w:rPr>
          <w:rFonts w:ascii="Times New Roman" w:hAnsi="Times New Roman"/>
          <w:b/>
          <w:sz w:val="20"/>
          <w:szCs w:val="20"/>
        </w:rPr>
        <w:t>Instructions:</w:t>
      </w:r>
      <w:r w:rsidRPr="003376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When an item is performed, complete “S</w:t>
      </w:r>
      <w:r w:rsidRPr="00337617">
        <w:rPr>
          <w:rFonts w:ascii="Times New Roman" w:hAnsi="Times New Roman"/>
          <w:sz w:val="20"/>
          <w:szCs w:val="20"/>
        </w:rPr>
        <w:t>taff</w:t>
      </w:r>
      <w:r>
        <w:rPr>
          <w:rFonts w:ascii="Times New Roman" w:hAnsi="Times New Roman"/>
          <w:sz w:val="20"/>
          <w:szCs w:val="20"/>
        </w:rPr>
        <w:t xml:space="preserve"> 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</w:t>
      </w:r>
      <w:r w:rsidR="009D66E1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 xml:space="preserve">Do not initial for other staff members.  If other staff members are not available to initial items themselves,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 xml:space="preserve"> 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If visit procedures are split across more than one date, ensure the date is captured in the comments cell for procedures conducted on a date different than that provided above.</w:t>
      </w:r>
      <w:r w:rsidRPr="0002435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7617">
        <w:rPr>
          <w:rFonts w:ascii="Times New Roman" w:hAnsi="Times New Roman"/>
          <w:b/>
          <w:sz w:val="20"/>
          <w:szCs w:val="20"/>
        </w:rPr>
        <w:t xml:space="preserve"> </w:t>
      </w:r>
    </w:p>
    <w:p w14:paraId="42D0CA81" w14:textId="77777777" w:rsidR="007E4BFE" w:rsidRDefault="007E4BFE">
      <w:pPr>
        <w:pStyle w:val="Footer"/>
        <w:jc w:val="both"/>
        <w:rPr>
          <w:rFonts w:ascii="Times New Roman" w:hAnsi="Times New Roman"/>
          <w:sz w:val="20"/>
          <w:szCs w:val="20"/>
        </w:rPr>
      </w:pPr>
    </w:p>
    <w:tbl>
      <w:tblPr>
        <w:tblW w:w="104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220"/>
        <w:gridCol w:w="1080"/>
        <w:gridCol w:w="2677"/>
      </w:tblGrid>
      <w:tr w:rsidR="00EB2D62" w:rsidRPr="00E961D3" w14:paraId="39A30949" w14:textId="77777777" w:rsidTr="00724E1F">
        <w:trPr>
          <w:cantSplit/>
          <w:trHeight w:val="300"/>
          <w:tblHeader/>
        </w:trPr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92CDDC"/>
            <w:noWrap/>
            <w:vAlign w:val="bottom"/>
          </w:tcPr>
          <w:p w14:paraId="5EF57C52" w14:textId="039613BF" w:rsidR="00EB2D62" w:rsidRPr="00137BDD" w:rsidRDefault="00EB2D62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Decliner Visit</w:t>
            </w:r>
            <w:r w:rsidRPr="00137BDD">
              <w:rPr>
                <w:rFonts w:cs="Calibri"/>
                <w:b/>
                <w:color w:val="000000"/>
              </w:rPr>
              <w:t xml:space="preserve"> Procedure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92CDDC"/>
            <w:vAlign w:val="bottom"/>
          </w:tcPr>
          <w:p w14:paraId="7FF38BF0" w14:textId="77777777" w:rsidR="00EB2D62" w:rsidRPr="00702091" w:rsidRDefault="00EB2D6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Staff Initials</w:t>
            </w: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92CDDC"/>
            <w:vAlign w:val="bottom"/>
          </w:tcPr>
          <w:p w14:paraId="3D4C77F7" w14:textId="77777777" w:rsidR="00EB2D62" w:rsidRPr="00702091" w:rsidRDefault="00EB2D6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Comments:</w:t>
            </w:r>
          </w:p>
        </w:tc>
      </w:tr>
      <w:tr w:rsidR="00EB2D62" w:rsidRPr="00E961D3" w14:paraId="5807EEFE" w14:textId="77777777" w:rsidTr="00724E1F">
        <w:trPr>
          <w:cantSplit/>
          <w:trHeight w:val="450"/>
        </w:trPr>
        <w:tc>
          <w:tcPr>
            <w:tcW w:w="440" w:type="dxa"/>
            <w:noWrap/>
          </w:tcPr>
          <w:p w14:paraId="3EA80518" w14:textId="77777777" w:rsidR="00EB2D62" w:rsidRPr="003B279B" w:rsidRDefault="00EB2D62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1</w:t>
            </w:r>
          </w:p>
        </w:tc>
        <w:tc>
          <w:tcPr>
            <w:tcW w:w="6220" w:type="dxa"/>
          </w:tcPr>
          <w:p w14:paraId="266FD990" w14:textId="5429A950" w:rsidR="00121796" w:rsidRPr="00FD3C45" w:rsidRDefault="00EB2D6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</w:t>
            </w:r>
            <w:r w:rsidR="00121796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 xml:space="preserve"> </w:t>
            </w:r>
            <w:r w:rsidR="00167B67">
              <w:rPr>
                <w:rFonts w:cs="Calibri"/>
                <w:color w:val="000000"/>
              </w:rPr>
              <w:t>age</w:t>
            </w:r>
            <w:r w:rsidR="00121796">
              <w:rPr>
                <w:rFonts w:cs="Calibri"/>
                <w:color w:val="000000"/>
              </w:rPr>
              <w:t xml:space="preserve">, </w:t>
            </w:r>
            <w:r w:rsidR="00121796" w:rsidRPr="00FD3C45">
              <w:rPr>
                <w:rFonts w:cs="Calibri"/>
                <w:color w:val="000000"/>
              </w:rPr>
              <w:t xml:space="preserve">and prescreening ID per site SOP </w:t>
            </w:r>
          </w:p>
          <w:p w14:paraId="4ED83FD0" w14:textId="5D515108" w:rsidR="00EB2D62" w:rsidRPr="003B279B" w:rsidRDefault="00121796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i/>
                <w:color w:val="000000"/>
              </w:rPr>
              <w:t xml:space="preserve">Note: if participant presents for </w:t>
            </w:r>
            <w:r>
              <w:rPr>
                <w:rFonts w:cs="Calibri"/>
                <w:i/>
                <w:color w:val="000000"/>
              </w:rPr>
              <w:t>decliner screening and enrollment</w:t>
            </w:r>
            <w:r w:rsidRPr="00FD3C45">
              <w:rPr>
                <w:rFonts w:cs="Calibri"/>
                <w:i/>
                <w:color w:val="000000"/>
              </w:rPr>
              <w:t xml:space="preserve"> and does not have a prescreening ID already assigned, complete this process</w:t>
            </w:r>
          </w:p>
        </w:tc>
        <w:tc>
          <w:tcPr>
            <w:tcW w:w="1080" w:type="dxa"/>
          </w:tcPr>
          <w:p w14:paraId="10727C9F" w14:textId="77777777" w:rsidR="00EB2D62" w:rsidRPr="003B279B" w:rsidRDefault="00EB2D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77" w:type="dxa"/>
          </w:tcPr>
          <w:p w14:paraId="13239B42" w14:textId="77777777" w:rsidR="00EB2D62" w:rsidRPr="003B279B" w:rsidRDefault="00EB2D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B2D62" w:rsidRPr="00E961D3" w14:paraId="7929C833" w14:textId="77777777" w:rsidTr="00724E1F">
        <w:trPr>
          <w:cantSplit/>
          <w:trHeight w:val="930"/>
        </w:trPr>
        <w:tc>
          <w:tcPr>
            <w:tcW w:w="440" w:type="dxa"/>
            <w:noWrap/>
          </w:tcPr>
          <w:p w14:paraId="43687312" w14:textId="77777777" w:rsidR="00EB2D62" w:rsidRPr="003B279B" w:rsidRDefault="00EB2D62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2</w:t>
            </w:r>
          </w:p>
        </w:tc>
        <w:tc>
          <w:tcPr>
            <w:tcW w:w="6220" w:type="dxa"/>
          </w:tcPr>
          <w:p w14:paraId="203E4F3C" w14:textId="139E7A1F" w:rsidR="00167B67" w:rsidRPr="007E34AA" w:rsidRDefault="00167B67">
            <w:pPr>
              <w:spacing w:after="0" w:line="240" w:lineRule="auto"/>
              <w:rPr>
                <w:rFonts w:cs="Calibri"/>
                <w:color w:val="000000"/>
              </w:rPr>
            </w:pPr>
            <w:r w:rsidRPr="007E34AA">
              <w:rPr>
                <w:rFonts w:cs="Calibri"/>
                <w:color w:val="000000"/>
              </w:rPr>
              <w:t>Explain, conduct, and document</w:t>
            </w:r>
            <w:r w:rsidR="00121796">
              <w:rPr>
                <w:rFonts w:cs="Calibri"/>
                <w:color w:val="000000"/>
              </w:rPr>
              <w:t xml:space="preserve"> Decliner</w:t>
            </w:r>
            <w:r w:rsidRPr="007E34AA">
              <w:rPr>
                <w:rFonts w:cs="Calibri"/>
                <w:color w:val="000000"/>
              </w:rPr>
              <w:t xml:space="preserve"> </w:t>
            </w:r>
            <w:r w:rsidR="00121796">
              <w:rPr>
                <w:rFonts w:cs="Calibri"/>
                <w:color w:val="000000"/>
              </w:rPr>
              <w:t>S</w:t>
            </w:r>
            <w:r w:rsidRPr="007E34AA">
              <w:rPr>
                <w:rFonts w:cs="Calibri"/>
                <w:color w:val="000000"/>
              </w:rPr>
              <w:t>cr</w:t>
            </w:r>
            <w:r>
              <w:rPr>
                <w:rFonts w:cs="Calibri"/>
                <w:color w:val="000000"/>
              </w:rPr>
              <w:t>eening</w:t>
            </w:r>
            <w:r w:rsidR="00121796">
              <w:rPr>
                <w:rFonts w:cs="Calibri"/>
                <w:color w:val="000000"/>
              </w:rPr>
              <w:t xml:space="preserve"> &amp; Enrollment</w:t>
            </w:r>
            <w:r>
              <w:rPr>
                <w:rFonts w:cs="Calibri"/>
                <w:color w:val="000000"/>
              </w:rPr>
              <w:t xml:space="preserve"> informed consent process:</w:t>
            </w:r>
          </w:p>
          <w:p w14:paraId="11727D9A" w14:textId="77777777" w:rsidR="00167B67" w:rsidRDefault="00167B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7E34AA">
              <w:rPr>
                <w:rFonts w:cs="Calibri"/>
                <w:color w:val="000000"/>
              </w:rPr>
              <w:t>Willing and able to provide written</w:t>
            </w:r>
            <w:r>
              <w:rPr>
                <w:rFonts w:cs="Calibri"/>
                <w:color w:val="000000"/>
              </w:rPr>
              <w:t xml:space="preserve"> informed consent ==&gt; CONTINUE.</w:t>
            </w:r>
          </w:p>
          <w:p w14:paraId="08A00778" w14:textId="70493763" w:rsidR="00EB2D62" w:rsidRPr="003B279B" w:rsidRDefault="00167B67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7E34AA">
              <w:rPr>
                <w:rFonts w:cs="Calibri"/>
                <w:color w:val="000000"/>
              </w:rPr>
              <w:t>NOT willing and able to provide written informed consent ==&gt; STOP. NOT ELIGIBLE.</w:t>
            </w:r>
          </w:p>
        </w:tc>
        <w:tc>
          <w:tcPr>
            <w:tcW w:w="1080" w:type="dxa"/>
          </w:tcPr>
          <w:p w14:paraId="29585B2F" w14:textId="77777777" w:rsidR="00EB2D62" w:rsidRPr="003B279B" w:rsidRDefault="00EB2D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77" w:type="dxa"/>
          </w:tcPr>
          <w:p w14:paraId="3DAEE23B" w14:textId="77777777" w:rsidR="00EB2D62" w:rsidRPr="003B279B" w:rsidRDefault="00EB2D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67B67" w:rsidRPr="00E961D3" w14:paraId="29BCD31F" w14:textId="77777777" w:rsidTr="00724E1F">
        <w:trPr>
          <w:cantSplit/>
          <w:trHeight w:val="426"/>
        </w:trPr>
        <w:tc>
          <w:tcPr>
            <w:tcW w:w="440" w:type="dxa"/>
            <w:noWrap/>
          </w:tcPr>
          <w:p w14:paraId="52F23367" w14:textId="77777777" w:rsidR="00167B67" w:rsidRPr="003B279B" w:rsidRDefault="00167B6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3</w:t>
            </w:r>
          </w:p>
        </w:tc>
        <w:tc>
          <w:tcPr>
            <w:tcW w:w="6220" w:type="dxa"/>
          </w:tcPr>
          <w:p w14:paraId="30AADF65" w14:textId="0835C18E" w:rsidR="00167B67" w:rsidRPr="00167B67" w:rsidRDefault="00167B67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 xml:space="preserve">Assign PTID (if not </w:t>
            </w:r>
            <w:r w:rsidR="00507641">
              <w:rPr>
                <w:rFonts w:cs="Calibri"/>
                <w:color w:val="000000"/>
              </w:rPr>
              <w:t>done during a previous visit</w:t>
            </w:r>
            <w:r w:rsidRPr="003E1CF8">
              <w:rPr>
                <w:rFonts w:cs="Calibri"/>
                <w:color w:val="000000"/>
              </w:rPr>
              <w:t>)</w:t>
            </w:r>
            <w:r w:rsidR="00121796">
              <w:rPr>
                <w:rFonts w:cs="Calibri"/>
                <w:color w:val="000000"/>
              </w:rPr>
              <w:t xml:space="preserve"> by completing a row on the</w:t>
            </w:r>
            <w:r>
              <w:rPr>
                <w:rFonts w:cs="Calibri"/>
                <w:color w:val="000000"/>
              </w:rPr>
              <w:t xml:space="preserve"> PTID </w:t>
            </w:r>
            <w:r w:rsidR="00121796">
              <w:rPr>
                <w:rFonts w:cs="Calibri"/>
                <w:color w:val="000000"/>
              </w:rPr>
              <w:t>name-linkage l</w:t>
            </w:r>
            <w:r>
              <w:rPr>
                <w:rFonts w:cs="Calibri"/>
                <w:color w:val="000000"/>
              </w:rPr>
              <w:t>og</w:t>
            </w:r>
          </w:p>
        </w:tc>
        <w:tc>
          <w:tcPr>
            <w:tcW w:w="1080" w:type="dxa"/>
          </w:tcPr>
          <w:p w14:paraId="5680589B" w14:textId="77777777" w:rsidR="00167B67" w:rsidRPr="003B279B" w:rsidRDefault="00167B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77" w:type="dxa"/>
          </w:tcPr>
          <w:p w14:paraId="14D425DA" w14:textId="77777777" w:rsidR="00167B67" w:rsidRPr="003B279B" w:rsidRDefault="00167B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21796" w:rsidRPr="00E961D3" w14:paraId="0324C779" w14:textId="77777777" w:rsidTr="00724E1F">
        <w:trPr>
          <w:cantSplit/>
          <w:trHeight w:val="458"/>
        </w:trPr>
        <w:tc>
          <w:tcPr>
            <w:tcW w:w="440" w:type="dxa"/>
            <w:noWrap/>
          </w:tcPr>
          <w:p w14:paraId="6072AA3A" w14:textId="05DA8F92" w:rsidR="00121796" w:rsidRPr="003B279B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6220" w:type="dxa"/>
          </w:tcPr>
          <w:p w14:paraId="071291E2" w14:textId="73CFBB04" w:rsidR="00121796" w:rsidRPr="00C315CB" w:rsidRDefault="00121796" w:rsidP="00111081">
            <w:pPr>
              <w:spacing w:after="0" w:line="240" w:lineRule="auto"/>
            </w:pPr>
            <w:r w:rsidRPr="00C315CB">
              <w:t xml:space="preserve">Administer </w:t>
            </w:r>
            <w:r>
              <w:t>Decliner</w:t>
            </w:r>
            <w:r w:rsidRPr="00C315CB">
              <w:t xml:space="preserve"> </w:t>
            </w:r>
            <w:r w:rsidRPr="00C315CB">
              <w:rPr>
                <w:rFonts w:cs="Calibri"/>
                <w:color w:val="000000"/>
              </w:rPr>
              <w:t>Behavioral</w:t>
            </w:r>
            <w:r w:rsidRPr="00C315CB">
              <w:t xml:space="preserve"> Eligibility Worksheet   </w:t>
            </w:r>
          </w:p>
          <w:p w14:paraId="6E7335BC" w14:textId="77777777" w:rsidR="00121796" w:rsidRPr="00C315CB" w:rsidRDefault="0012179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C315CB">
              <w:t>ELIGIBLE thus far ==&gt; CONTINUE.</w:t>
            </w:r>
          </w:p>
          <w:p w14:paraId="29F965CA" w14:textId="54E154B2" w:rsidR="00121796" w:rsidRPr="003E1CF8" w:rsidRDefault="00121796" w:rsidP="001110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315CB">
              <w:t>NOT ELIGIBLE ==&gt; STOP.</w:t>
            </w:r>
          </w:p>
        </w:tc>
        <w:tc>
          <w:tcPr>
            <w:tcW w:w="1080" w:type="dxa"/>
          </w:tcPr>
          <w:p w14:paraId="5FC2AD61" w14:textId="77777777" w:rsidR="00121796" w:rsidRPr="003B279B" w:rsidRDefault="001217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77" w:type="dxa"/>
          </w:tcPr>
          <w:p w14:paraId="4A824884" w14:textId="77777777" w:rsidR="00121796" w:rsidRPr="003B279B" w:rsidRDefault="001217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05F7D" w:rsidRPr="00E961D3" w14:paraId="31C383C1" w14:textId="77777777" w:rsidTr="00724E1F">
        <w:trPr>
          <w:cantSplit/>
          <w:trHeight w:val="458"/>
        </w:trPr>
        <w:tc>
          <w:tcPr>
            <w:tcW w:w="440" w:type="dxa"/>
            <w:noWrap/>
          </w:tcPr>
          <w:p w14:paraId="2955C4FD" w14:textId="7D84640E" w:rsidR="00205F7D" w:rsidRPr="003B279B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220" w:type="dxa"/>
          </w:tcPr>
          <w:p w14:paraId="03432EE1" w14:textId="5AAE152E" w:rsidR="00205F7D" w:rsidRPr="00C315CB" w:rsidRDefault="00205F7D" w:rsidP="00111081">
            <w:pPr>
              <w:spacing w:after="0" w:line="240" w:lineRule="auto"/>
            </w:pPr>
            <w:r w:rsidRPr="00C315CB">
              <w:t>Conduct confirmation and final determination of</w:t>
            </w:r>
            <w:r>
              <w:t xml:space="preserve"> decliner</w:t>
            </w:r>
            <w:r w:rsidRPr="00C315CB">
              <w:t xml:space="preserve"> eligibility status by review/completion of </w:t>
            </w:r>
            <w:r>
              <w:t xml:space="preserve">Decliner </w:t>
            </w:r>
            <w:r w:rsidRPr="00C315CB">
              <w:t xml:space="preserve">Eligibility Checklist.  </w:t>
            </w:r>
          </w:p>
          <w:p w14:paraId="436A1DB1" w14:textId="44847946" w:rsidR="00205F7D" w:rsidRPr="00C315CB" w:rsidRDefault="00205F7D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ELIGIBLE ==&gt; CONTINUE</w:t>
            </w:r>
            <w:r w:rsidR="006102B0">
              <w:t>.</w:t>
            </w:r>
            <w:r w:rsidRPr="00C315CB">
              <w:t xml:space="preserve"> ==&gt; </w:t>
            </w:r>
            <w:r w:rsidR="00AA4402" w:rsidRPr="00C315CB">
              <w:t>sign</w:t>
            </w:r>
            <w:r w:rsidR="00AA4402">
              <w:t xml:space="preserve"> the</w:t>
            </w:r>
            <w:r w:rsidR="00AA4402">
              <w:t xml:space="preserve"> Decliner</w:t>
            </w:r>
            <w:r w:rsidR="00AA4402">
              <w:t xml:space="preserve"> Eligibility Checklist</w:t>
            </w:r>
            <w:r w:rsidR="00AA4402" w:rsidRPr="00C315CB">
              <w:t xml:space="preserve"> and proceed to eligibility verification</w:t>
            </w:r>
            <w:r w:rsidR="00AA4402" w:rsidDel="00AA4402">
              <w:t xml:space="preserve"> </w:t>
            </w:r>
          </w:p>
          <w:p w14:paraId="5A72F25A" w14:textId="5901F2BB" w:rsidR="00205F7D" w:rsidRPr="003E1CF8" w:rsidRDefault="00205F7D" w:rsidP="001110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315CB">
              <w:t xml:space="preserve">NOT ELIGIBLE ==&gt; STOP.  DO NOT </w:t>
            </w:r>
            <w:r w:rsidRPr="00C315CB">
              <w:rPr>
                <w:caps/>
              </w:rPr>
              <w:t>enroll</w:t>
            </w:r>
            <w:r w:rsidRPr="00C315CB">
              <w:t>.</w:t>
            </w:r>
          </w:p>
        </w:tc>
        <w:tc>
          <w:tcPr>
            <w:tcW w:w="1080" w:type="dxa"/>
          </w:tcPr>
          <w:p w14:paraId="06C85BBD" w14:textId="77777777" w:rsidR="00205F7D" w:rsidRPr="003B279B" w:rsidRDefault="00205F7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77" w:type="dxa"/>
          </w:tcPr>
          <w:p w14:paraId="4F740A7F" w14:textId="77777777" w:rsidR="00205F7D" w:rsidRPr="003B279B" w:rsidRDefault="00205F7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05F7D" w:rsidRPr="00E961D3" w14:paraId="2890B49B" w14:textId="77777777" w:rsidTr="00724E1F">
        <w:trPr>
          <w:cantSplit/>
          <w:trHeight w:val="458"/>
        </w:trPr>
        <w:tc>
          <w:tcPr>
            <w:tcW w:w="440" w:type="dxa"/>
            <w:noWrap/>
          </w:tcPr>
          <w:p w14:paraId="5E21A101" w14:textId="5AFF5636" w:rsidR="00205F7D" w:rsidRPr="003B279B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220" w:type="dxa"/>
          </w:tcPr>
          <w:p w14:paraId="270F71A0" w14:textId="47454107" w:rsidR="00205F7D" w:rsidRPr="00C315CB" w:rsidRDefault="00205F7D" w:rsidP="00111081">
            <w:pPr>
              <w:spacing w:after="0" w:line="240" w:lineRule="auto"/>
            </w:pPr>
            <w:r w:rsidRPr="00C315CB">
              <w:t xml:space="preserve">Verify participant eligibility by review of </w:t>
            </w:r>
            <w:r>
              <w:t xml:space="preserve">Decliner </w:t>
            </w:r>
            <w:r w:rsidRPr="00C315CB">
              <w:t xml:space="preserve">Eligibility Checklist (must be different staff member than step </w:t>
            </w:r>
            <w:r w:rsidR="00DE06C1">
              <w:t>5</w:t>
            </w:r>
            <w:r w:rsidRPr="00C315CB">
              <w:t xml:space="preserve">):     </w:t>
            </w:r>
          </w:p>
          <w:p w14:paraId="1686D414" w14:textId="411272BA" w:rsidR="00205F7D" w:rsidRPr="00C315CB" w:rsidRDefault="00205F7D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 w:rsidRPr="00C315CB">
              <w:t xml:space="preserve">ELIGIBLE ==&gt; CONTINUE </w:t>
            </w:r>
            <w:r w:rsidRPr="00C315CB">
              <w:br w:type="page"/>
            </w:r>
            <w:r w:rsidRPr="00C315CB">
              <w:sym w:font="Wingdings" w:char="F0E0"/>
            </w:r>
            <w:r w:rsidRPr="00C315CB">
              <w:t xml:space="preserve"> sign </w:t>
            </w:r>
            <w:r w:rsidR="00AA4402">
              <w:t>the Decliner Eligibility Checklist</w:t>
            </w:r>
          </w:p>
          <w:p w14:paraId="4D82CBA5" w14:textId="5AB43BA5" w:rsidR="00205F7D" w:rsidRPr="00C315CB" w:rsidRDefault="00205F7D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 w:rsidRPr="00C315CB">
              <w:t xml:space="preserve">NOT ELIGIBLE ==&gt; STOP.  DO NOT </w:t>
            </w:r>
            <w:r w:rsidRPr="00C315CB">
              <w:rPr>
                <w:caps/>
              </w:rPr>
              <w:t>enroll</w:t>
            </w:r>
            <w:r w:rsidRPr="00C315CB">
              <w:t xml:space="preserve">.  </w:t>
            </w:r>
          </w:p>
          <w:p w14:paraId="4B2A9D59" w14:textId="5F5E7DBC" w:rsidR="00205F7D" w:rsidRPr="00111081" w:rsidRDefault="00AA4402" w:rsidP="00195F05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C315CB">
              <w:rPr>
                <w:b/>
              </w:rPr>
              <w:t xml:space="preserve">Participant considered is enrolled once eligibility checklist is completed and </w:t>
            </w:r>
            <w:r>
              <w:rPr>
                <w:b/>
              </w:rPr>
              <w:t>final sign off is completed by designated staff.</w:t>
            </w:r>
          </w:p>
        </w:tc>
        <w:tc>
          <w:tcPr>
            <w:tcW w:w="1080" w:type="dxa"/>
          </w:tcPr>
          <w:p w14:paraId="3CE32E15" w14:textId="77777777" w:rsidR="00205F7D" w:rsidRPr="003B279B" w:rsidRDefault="00205F7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77" w:type="dxa"/>
          </w:tcPr>
          <w:p w14:paraId="726BB1CB" w14:textId="77777777" w:rsidR="00205F7D" w:rsidRPr="003B279B" w:rsidRDefault="00205F7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67B67" w:rsidRPr="00E961D3" w14:paraId="3A187705" w14:textId="77777777" w:rsidTr="00724E1F">
        <w:trPr>
          <w:cantSplit/>
          <w:trHeight w:val="458"/>
        </w:trPr>
        <w:tc>
          <w:tcPr>
            <w:tcW w:w="440" w:type="dxa"/>
            <w:noWrap/>
          </w:tcPr>
          <w:p w14:paraId="4BFC0535" w14:textId="114F1D3C" w:rsidR="00167B67" w:rsidRPr="003B279B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6220" w:type="dxa"/>
          </w:tcPr>
          <w:p w14:paraId="1E609DE5" w14:textId="3C936CB1" w:rsidR="00167B67" w:rsidRPr="003B279B" w:rsidRDefault="00167B67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Administer</w:t>
            </w:r>
            <w:r>
              <w:rPr>
                <w:rFonts w:cs="Calibri"/>
                <w:color w:val="000000"/>
              </w:rPr>
              <w:t xml:space="preserve"> Demographics CRF</w:t>
            </w:r>
          </w:p>
        </w:tc>
        <w:tc>
          <w:tcPr>
            <w:tcW w:w="1080" w:type="dxa"/>
          </w:tcPr>
          <w:p w14:paraId="476EC118" w14:textId="77777777" w:rsidR="00167B67" w:rsidRPr="003B279B" w:rsidRDefault="00167B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77" w:type="dxa"/>
          </w:tcPr>
          <w:p w14:paraId="7EF28D02" w14:textId="77777777" w:rsidR="00167B67" w:rsidRPr="003B279B" w:rsidRDefault="00167B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67B67" w:rsidRPr="00E961D3" w14:paraId="548E1DC0" w14:textId="77777777" w:rsidTr="00724E1F">
        <w:trPr>
          <w:cantSplit/>
          <w:trHeight w:val="417"/>
        </w:trPr>
        <w:tc>
          <w:tcPr>
            <w:tcW w:w="440" w:type="dxa"/>
            <w:noWrap/>
          </w:tcPr>
          <w:p w14:paraId="579AC6DE" w14:textId="23214690" w:rsidR="00167B67" w:rsidRPr="003B279B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6220" w:type="dxa"/>
          </w:tcPr>
          <w:p w14:paraId="67CC1A7F" w14:textId="2C52466D" w:rsidR="00167B67" w:rsidRPr="003B279B" w:rsidRDefault="00B335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Administer </w:t>
            </w:r>
            <w:r w:rsidR="00205F7D">
              <w:rPr>
                <w:rFonts w:cs="Calibri"/>
                <w:color w:val="000000"/>
              </w:rPr>
              <w:t xml:space="preserve">Baseline </w:t>
            </w:r>
            <w:r w:rsidRPr="00827DFF">
              <w:rPr>
                <w:rFonts w:cs="Calibri"/>
                <w:color w:val="000000"/>
              </w:rPr>
              <w:t>Behavior Assessment</w:t>
            </w:r>
            <w:r>
              <w:rPr>
                <w:rFonts w:cs="Calibri"/>
                <w:color w:val="000000"/>
              </w:rPr>
              <w:t xml:space="preserve"> CRF  </w:t>
            </w:r>
          </w:p>
        </w:tc>
        <w:tc>
          <w:tcPr>
            <w:tcW w:w="1080" w:type="dxa"/>
          </w:tcPr>
          <w:p w14:paraId="49F4FD92" w14:textId="77777777" w:rsidR="00167B67" w:rsidRPr="003B279B" w:rsidRDefault="00167B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77" w:type="dxa"/>
          </w:tcPr>
          <w:p w14:paraId="56B0B7F5" w14:textId="77777777" w:rsidR="00167B67" w:rsidRPr="003B279B" w:rsidRDefault="00167B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67B67" w:rsidRPr="00E961D3" w14:paraId="36E13EBF" w14:textId="77777777" w:rsidTr="00724E1F">
        <w:trPr>
          <w:cantSplit/>
          <w:trHeight w:val="426"/>
        </w:trPr>
        <w:tc>
          <w:tcPr>
            <w:tcW w:w="440" w:type="dxa"/>
            <w:noWrap/>
          </w:tcPr>
          <w:p w14:paraId="6B18303B" w14:textId="4E9CCBE4" w:rsidR="00167B67" w:rsidRPr="003B279B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6220" w:type="dxa"/>
          </w:tcPr>
          <w:p w14:paraId="19FF2D57" w14:textId="67EF7038" w:rsidR="00167B67" w:rsidRPr="003B279B" w:rsidRDefault="0012179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FOR QUALITATIVE SITES ONLY (delete if not a qualitative site): If indicated/selected, c</w:t>
            </w:r>
            <w:r w:rsidR="00B335B8">
              <w:rPr>
                <w:rFonts w:cs="Calibri"/>
                <w:color w:val="000000"/>
              </w:rPr>
              <w:t xml:space="preserve">onduct </w:t>
            </w:r>
            <w:r w:rsidR="00DE06C1">
              <w:rPr>
                <w:rFonts w:cs="Calibri"/>
                <w:color w:val="000000"/>
              </w:rPr>
              <w:t xml:space="preserve">decliner </w:t>
            </w:r>
            <w:r w:rsidR="00B335B8">
              <w:rPr>
                <w:rFonts w:cs="Calibri"/>
                <w:color w:val="000000"/>
              </w:rPr>
              <w:t xml:space="preserve">In-Depth-Interview </w:t>
            </w:r>
            <w:r>
              <w:rPr>
                <w:rFonts w:cs="Calibri"/>
                <w:color w:val="000000"/>
              </w:rPr>
              <w:t xml:space="preserve">per qualitative visit checklist </w:t>
            </w:r>
          </w:p>
        </w:tc>
        <w:tc>
          <w:tcPr>
            <w:tcW w:w="1080" w:type="dxa"/>
          </w:tcPr>
          <w:p w14:paraId="71D8029C" w14:textId="77777777" w:rsidR="00167B67" w:rsidRPr="003B279B" w:rsidRDefault="00167B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77" w:type="dxa"/>
          </w:tcPr>
          <w:p w14:paraId="06E91542" w14:textId="77777777" w:rsidR="00167B67" w:rsidRPr="003B279B" w:rsidRDefault="00167B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05F7D" w:rsidRPr="00E961D3" w14:paraId="354F03B6" w14:textId="77777777" w:rsidTr="00724E1F">
        <w:trPr>
          <w:cantSplit/>
          <w:trHeight w:val="350"/>
        </w:trPr>
        <w:tc>
          <w:tcPr>
            <w:tcW w:w="440" w:type="dxa"/>
            <w:noWrap/>
          </w:tcPr>
          <w:p w14:paraId="580EF52A" w14:textId="609FD562" w:rsidR="00205F7D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6220" w:type="dxa"/>
          </w:tcPr>
          <w:p w14:paraId="50E026B2" w14:textId="5C92A513" w:rsidR="00205F7D" w:rsidRDefault="00205F7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Complete </w:t>
            </w:r>
            <w:r w:rsidRPr="002D2BC7">
              <w:rPr>
                <w:rFonts w:cs="Calibri"/>
                <w:bCs/>
                <w:color w:val="000000"/>
              </w:rPr>
              <w:t>Enrollment – Decliner Population CRF</w:t>
            </w:r>
          </w:p>
        </w:tc>
        <w:tc>
          <w:tcPr>
            <w:tcW w:w="1080" w:type="dxa"/>
          </w:tcPr>
          <w:p w14:paraId="42395DB8" w14:textId="77777777" w:rsidR="00205F7D" w:rsidRDefault="00205F7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77" w:type="dxa"/>
          </w:tcPr>
          <w:p w14:paraId="2DCD3AA1" w14:textId="00AE31A5" w:rsidR="00205F7D" w:rsidRDefault="00205F7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87F91" w:rsidRPr="00E961D3" w14:paraId="60A53CBA" w14:textId="77777777" w:rsidTr="00724E1F">
        <w:trPr>
          <w:cantSplit/>
          <w:trHeight w:val="350"/>
        </w:trPr>
        <w:tc>
          <w:tcPr>
            <w:tcW w:w="440" w:type="dxa"/>
            <w:noWrap/>
          </w:tcPr>
          <w:p w14:paraId="748E9152" w14:textId="5328433D" w:rsidR="00887F91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6220" w:type="dxa"/>
          </w:tcPr>
          <w:p w14:paraId="1C69FE7D" w14:textId="76215AF7" w:rsidR="00887F91" w:rsidRDefault="00DE06C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Complete r</w:t>
            </w:r>
            <w:r w:rsidR="00887F91">
              <w:t xml:space="preserve">ow in Decliner </w:t>
            </w:r>
            <w:r w:rsidR="00887F91" w:rsidRPr="00C315CB">
              <w:t>Screening and Enrollment Log</w:t>
            </w:r>
          </w:p>
        </w:tc>
        <w:tc>
          <w:tcPr>
            <w:tcW w:w="1080" w:type="dxa"/>
          </w:tcPr>
          <w:p w14:paraId="2954B317" w14:textId="77777777" w:rsidR="00887F91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77" w:type="dxa"/>
          </w:tcPr>
          <w:p w14:paraId="31673D3E" w14:textId="57303CAF" w:rsidR="00887F91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87F91" w:rsidRPr="00E961D3" w14:paraId="372F95C8" w14:textId="77777777" w:rsidTr="00724E1F">
        <w:trPr>
          <w:cantSplit/>
          <w:trHeight w:val="440"/>
        </w:trPr>
        <w:tc>
          <w:tcPr>
            <w:tcW w:w="440" w:type="dxa"/>
            <w:noWrap/>
          </w:tcPr>
          <w:p w14:paraId="700F92C6" w14:textId="54810FA0" w:rsidR="00887F91" w:rsidRPr="003B279B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6220" w:type="dxa"/>
          </w:tcPr>
          <w:p w14:paraId="207EB084" w14:textId="214D44C4" w:rsidR="00887F91" w:rsidRPr="003B279B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1080" w:type="dxa"/>
          </w:tcPr>
          <w:p w14:paraId="2485A1C5" w14:textId="77777777" w:rsidR="00887F91" w:rsidRPr="003B279B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77" w:type="dxa"/>
          </w:tcPr>
          <w:p w14:paraId="359BDB0F" w14:textId="437286CF" w:rsidR="00887F91" w:rsidRPr="003B279B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87F91" w:rsidRPr="00E961D3" w14:paraId="5F0C0565" w14:textId="77777777" w:rsidTr="00724E1F">
        <w:trPr>
          <w:cantSplit/>
          <w:trHeight w:val="440"/>
        </w:trPr>
        <w:tc>
          <w:tcPr>
            <w:tcW w:w="440" w:type="dxa"/>
            <w:tcBorders>
              <w:bottom w:val="single" w:sz="4" w:space="0" w:color="auto"/>
            </w:tcBorders>
            <w:noWrap/>
          </w:tcPr>
          <w:p w14:paraId="3791F080" w14:textId="76414AC8" w:rsidR="00887F91" w:rsidRPr="003B279B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3339D4DA" w14:textId="61B1BD2C" w:rsidR="00887F91" w:rsidRPr="00C315CB" w:rsidRDefault="00887F91" w:rsidP="00111081">
            <w:pPr>
              <w:spacing w:after="0" w:line="240" w:lineRule="auto"/>
            </w:pPr>
            <w:r w:rsidRPr="00C315CB">
              <w:t xml:space="preserve">For enrolled participants, QC and then </w:t>
            </w:r>
            <w:r w:rsidRPr="002D2BC7">
              <w:t xml:space="preserve">submit all required Case Report Forms from the </w:t>
            </w:r>
            <w:r>
              <w:t xml:space="preserve">Decliner </w:t>
            </w:r>
            <w:r w:rsidRPr="002D2BC7">
              <w:t>Screening and Enrollment visits into Medidata Rave</w:t>
            </w:r>
            <w:r w:rsidRPr="00C315CB">
              <w:t>.</w:t>
            </w:r>
          </w:p>
          <w:p w14:paraId="213D90CC" w14:textId="77777777" w:rsidR="006333F7" w:rsidRDefault="006333F7">
            <w:pPr>
              <w:pStyle w:val="Header"/>
              <w:keepLines/>
              <w:numPr>
                <w:ilvl w:val="0"/>
                <w:numId w:val="22"/>
              </w:numPr>
              <w:tabs>
                <w:tab w:val="clear" w:pos="4680"/>
                <w:tab w:val="clear" w:pos="9360"/>
              </w:tabs>
            </w:pPr>
            <w:r>
              <w:t>Pre-Screening Outcome (if not already completed)</w:t>
            </w:r>
          </w:p>
          <w:p w14:paraId="7357A6C5" w14:textId="4467D73D" w:rsidR="00887F91" w:rsidRPr="00C73712" w:rsidRDefault="00887F91">
            <w:pPr>
              <w:pStyle w:val="Header"/>
              <w:keepLines/>
              <w:numPr>
                <w:ilvl w:val="0"/>
                <w:numId w:val="22"/>
              </w:numPr>
              <w:tabs>
                <w:tab w:val="clear" w:pos="4680"/>
                <w:tab w:val="clear" w:pos="9360"/>
              </w:tabs>
            </w:pPr>
            <w:r w:rsidRPr="00C73712">
              <w:t>Eligibility Criteria – Decliner Population</w:t>
            </w:r>
          </w:p>
          <w:p w14:paraId="04A5D9C4" w14:textId="77777777" w:rsidR="00887F91" w:rsidRPr="00C73712" w:rsidRDefault="00887F91">
            <w:pPr>
              <w:pStyle w:val="Header"/>
              <w:keepLines/>
              <w:numPr>
                <w:ilvl w:val="0"/>
                <w:numId w:val="22"/>
              </w:numPr>
              <w:tabs>
                <w:tab w:val="clear" w:pos="4680"/>
                <w:tab w:val="clear" w:pos="9360"/>
              </w:tabs>
            </w:pPr>
            <w:r w:rsidRPr="00C73712">
              <w:t>Enrollment – Decliner Population</w:t>
            </w:r>
          </w:p>
          <w:p w14:paraId="699FF3F7" w14:textId="77777777" w:rsidR="00887F91" w:rsidRPr="00C73712" w:rsidRDefault="00887F91">
            <w:pPr>
              <w:pStyle w:val="Header"/>
              <w:keepLines/>
              <w:numPr>
                <w:ilvl w:val="0"/>
                <w:numId w:val="22"/>
              </w:numPr>
              <w:tabs>
                <w:tab w:val="clear" w:pos="4680"/>
                <w:tab w:val="clear" w:pos="9360"/>
              </w:tabs>
            </w:pPr>
            <w:r w:rsidRPr="00C73712">
              <w:t>Demographics</w:t>
            </w:r>
          </w:p>
          <w:p w14:paraId="385F3AAD" w14:textId="77777777" w:rsidR="00887F91" w:rsidRPr="00C73712" w:rsidRDefault="00887F91">
            <w:pPr>
              <w:pStyle w:val="Header"/>
              <w:keepLines/>
              <w:numPr>
                <w:ilvl w:val="0"/>
                <w:numId w:val="22"/>
              </w:numPr>
              <w:tabs>
                <w:tab w:val="clear" w:pos="4680"/>
                <w:tab w:val="clear" w:pos="9360"/>
              </w:tabs>
            </w:pPr>
            <w:r w:rsidRPr="00C73712">
              <w:t>Baseline Behavioral Assessment</w:t>
            </w:r>
          </w:p>
          <w:p w14:paraId="7B248DA7" w14:textId="43E75527" w:rsidR="00887F91" w:rsidRPr="003B279B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68CDA8C" w14:textId="77777777" w:rsidR="00887F91" w:rsidRPr="003B279B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14:paraId="04A8E955" w14:textId="4FF53694" w:rsidR="00887F91" w:rsidRPr="003B279B" w:rsidRDefault="00887F9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6B37D146" w14:textId="51E89F7A" w:rsidR="007E4BFE" w:rsidRDefault="007E4BFE" w:rsidP="00111081">
      <w:pPr>
        <w:spacing w:after="0" w:line="240" w:lineRule="auto"/>
      </w:pPr>
    </w:p>
    <w:sectPr w:rsidR="007E4BFE" w:rsidSect="00724E1F">
      <w:headerReference w:type="default" r:id="rId12"/>
      <w:footerReference w:type="default" r:id="rId13"/>
      <w:pgSz w:w="11906" w:h="16838" w:code="9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72C6D" w14:textId="77777777" w:rsidR="00660D83" w:rsidRDefault="00660D83" w:rsidP="00664B51">
      <w:pPr>
        <w:spacing w:after="0" w:line="240" w:lineRule="auto"/>
      </w:pPr>
      <w:r>
        <w:separator/>
      </w:r>
    </w:p>
  </w:endnote>
  <w:endnote w:type="continuationSeparator" w:id="0">
    <w:p w14:paraId="40A4BEF0" w14:textId="77777777" w:rsidR="00660D83" w:rsidRDefault="00660D83" w:rsidP="00664B51">
      <w:pPr>
        <w:spacing w:after="0" w:line="240" w:lineRule="auto"/>
      </w:pPr>
      <w:r>
        <w:continuationSeparator/>
      </w:r>
    </w:p>
  </w:endnote>
  <w:endnote w:type="continuationNotice" w:id="1">
    <w:p w14:paraId="5D2D07B3" w14:textId="77777777" w:rsidR="00660D83" w:rsidRDefault="00660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62964" w14:textId="5A4BFAC2" w:rsidR="00660D83" w:rsidRDefault="00660D83">
    <w:pPr>
      <w:pStyle w:val="Footer"/>
    </w:pPr>
    <w:r>
      <w:rPr>
        <w:sz w:val="18"/>
        <w:szCs w:val="18"/>
      </w:rPr>
      <w:t xml:space="preserve">MTN-025 Decliner Visit Checklist – Version </w:t>
    </w:r>
    <w:r w:rsidR="00AA4402">
      <w:rPr>
        <w:sz w:val="18"/>
        <w:szCs w:val="18"/>
      </w:rPr>
      <w:t>1.0, 27JUN2016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A4402" w:rsidRPr="00AA4402">
      <w:rPr>
        <w:sz w:val="18"/>
        <w:szCs w:val="18"/>
      </w:rPr>
      <w:t xml:space="preserve">Page </w:t>
    </w:r>
    <w:r w:rsidR="00AA4402" w:rsidRPr="00AA4402">
      <w:rPr>
        <w:b/>
        <w:bCs/>
        <w:sz w:val="18"/>
        <w:szCs w:val="18"/>
      </w:rPr>
      <w:fldChar w:fldCharType="begin"/>
    </w:r>
    <w:r w:rsidR="00AA4402" w:rsidRPr="00AA4402">
      <w:rPr>
        <w:b/>
        <w:bCs/>
        <w:sz w:val="18"/>
        <w:szCs w:val="18"/>
      </w:rPr>
      <w:instrText xml:space="preserve"> PAGE  \* Arabic  \* MERGEFORMAT </w:instrText>
    </w:r>
    <w:r w:rsidR="00AA4402" w:rsidRPr="00AA4402">
      <w:rPr>
        <w:b/>
        <w:bCs/>
        <w:sz w:val="18"/>
        <w:szCs w:val="18"/>
      </w:rPr>
      <w:fldChar w:fldCharType="separate"/>
    </w:r>
    <w:r w:rsidR="00724E1F">
      <w:rPr>
        <w:b/>
        <w:bCs/>
        <w:noProof/>
        <w:sz w:val="18"/>
        <w:szCs w:val="18"/>
      </w:rPr>
      <w:t>1</w:t>
    </w:r>
    <w:r w:rsidR="00AA4402" w:rsidRPr="00AA4402">
      <w:rPr>
        <w:b/>
        <w:bCs/>
        <w:sz w:val="18"/>
        <w:szCs w:val="18"/>
      </w:rPr>
      <w:fldChar w:fldCharType="end"/>
    </w:r>
    <w:r w:rsidR="00AA4402" w:rsidRPr="00AA4402">
      <w:rPr>
        <w:sz w:val="18"/>
        <w:szCs w:val="18"/>
      </w:rPr>
      <w:t xml:space="preserve"> of </w:t>
    </w:r>
    <w:r w:rsidR="00AA4402" w:rsidRPr="00AA4402">
      <w:rPr>
        <w:b/>
        <w:bCs/>
        <w:sz w:val="18"/>
        <w:szCs w:val="18"/>
      </w:rPr>
      <w:fldChar w:fldCharType="begin"/>
    </w:r>
    <w:r w:rsidR="00AA4402" w:rsidRPr="00AA4402">
      <w:rPr>
        <w:b/>
        <w:bCs/>
        <w:sz w:val="18"/>
        <w:szCs w:val="18"/>
      </w:rPr>
      <w:instrText xml:space="preserve"> NUMPAGES  \* Arabic  \* MERGEFORMAT </w:instrText>
    </w:r>
    <w:r w:rsidR="00AA4402" w:rsidRPr="00AA4402">
      <w:rPr>
        <w:b/>
        <w:bCs/>
        <w:sz w:val="18"/>
        <w:szCs w:val="18"/>
      </w:rPr>
      <w:fldChar w:fldCharType="separate"/>
    </w:r>
    <w:r w:rsidR="00724E1F">
      <w:rPr>
        <w:b/>
        <w:bCs/>
        <w:noProof/>
        <w:sz w:val="18"/>
        <w:szCs w:val="18"/>
      </w:rPr>
      <w:t>2</w:t>
    </w:r>
    <w:r w:rsidR="00AA4402" w:rsidRPr="00AA4402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8BD86" w14:textId="77777777" w:rsidR="00660D83" w:rsidRDefault="00660D83" w:rsidP="00664B51">
      <w:pPr>
        <w:spacing w:after="0" w:line="240" w:lineRule="auto"/>
      </w:pPr>
      <w:r>
        <w:separator/>
      </w:r>
    </w:p>
  </w:footnote>
  <w:footnote w:type="continuationSeparator" w:id="0">
    <w:p w14:paraId="323F8120" w14:textId="77777777" w:rsidR="00660D83" w:rsidRDefault="00660D83" w:rsidP="00664B51">
      <w:pPr>
        <w:spacing w:after="0" w:line="240" w:lineRule="auto"/>
      </w:pPr>
      <w:r>
        <w:continuationSeparator/>
      </w:r>
    </w:p>
  </w:footnote>
  <w:footnote w:type="continuationNotice" w:id="1">
    <w:p w14:paraId="2144C1C1" w14:textId="77777777" w:rsidR="00660D83" w:rsidRDefault="00660D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4659C" w14:textId="1CBA8CB7" w:rsidR="00660D83" w:rsidRPr="00111081" w:rsidRDefault="00660D83">
    <w:pPr>
      <w:pStyle w:val="Header"/>
      <w:tabs>
        <w:tab w:val="clear" w:pos="9360"/>
        <w:tab w:val="right" w:pos="9990"/>
      </w:tabs>
      <w:ind w:left="-630"/>
      <w:rPr>
        <w:u w:val="single"/>
      </w:rPr>
    </w:pPr>
    <w:r>
      <w:t>PTID: _________________________________</w:t>
    </w:r>
    <w:r>
      <w:tab/>
      <w:t xml:space="preserve">                               Date: ______________________</w:t>
    </w:r>
    <w:r>
      <w:tab/>
      <w:t xml:space="preserve">Visit: </w:t>
    </w:r>
    <w:r w:rsidRPr="00111081">
      <w:rPr>
        <w:u w:val="single"/>
      </w:rPr>
      <w:t>Decliner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954FB"/>
    <w:multiLevelType w:val="hybridMultilevel"/>
    <w:tmpl w:val="B50616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AE7"/>
    <w:multiLevelType w:val="hybridMultilevel"/>
    <w:tmpl w:val="A1D2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13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5"/>
  </w:num>
  <w:num w:numId="10">
    <w:abstractNumId w:val="1"/>
  </w:num>
  <w:num w:numId="11">
    <w:abstractNumId w:val="6"/>
  </w:num>
  <w:num w:numId="12">
    <w:abstractNumId w:val="3"/>
  </w:num>
  <w:num w:numId="13">
    <w:abstractNumId w:val="20"/>
  </w:num>
  <w:num w:numId="14">
    <w:abstractNumId w:val="21"/>
  </w:num>
  <w:num w:numId="15">
    <w:abstractNumId w:val="4"/>
  </w:num>
  <w:num w:numId="16">
    <w:abstractNumId w:val="19"/>
  </w:num>
  <w:num w:numId="17">
    <w:abstractNumId w:val="7"/>
  </w:num>
  <w:num w:numId="18">
    <w:abstractNumId w:val="17"/>
  </w:num>
  <w:num w:numId="19">
    <w:abstractNumId w:val="11"/>
  </w:num>
  <w:num w:numId="20">
    <w:abstractNumId w:val="12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030B8"/>
    <w:rsid w:val="0002435A"/>
    <w:rsid w:val="000549F0"/>
    <w:rsid w:val="000664B4"/>
    <w:rsid w:val="000D6EA8"/>
    <w:rsid w:val="0011076F"/>
    <w:rsid w:val="00111081"/>
    <w:rsid w:val="00121796"/>
    <w:rsid w:val="0013097B"/>
    <w:rsid w:val="00137675"/>
    <w:rsid w:val="00137BDD"/>
    <w:rsid w:val="001419D2"/>
    <w:rsid w:val="00144DE2"/>
    <w:rsid w:val="00164DD6"/>
    <w:rsid w:val="00167B67"/>
    <w:rsid w:val="0018382A"/>
    <w:rsid w:val="00195F05"/>
    <w:rsid w:val="001A6CA2"/>
    <w:rsid w:val="001A7608"/>
    <w:rsid w:val="001B468C"/>
    <w:rsid w:val="00205F7D"/>
    <w:rsid w:val="002104F5"/>
    <w:rsid w:val="0022124E"/>
    <w:rsid w:val="00270C3A"/>
    <w:rsid w:val="00283CF8"/>
    <w:rsid w:val="002B32BD"/>
    <w:rsid w:val="002C4AC9"/>
    <w:rsid w:val="002C57E5"/>
    <w:rsid w:val="002C70C5"/>
    <w:rsid w:val="002E12C0"/>
    <w:rsid w:val="003374F9"/>
    <w:rsid w:val="00337617"/>
    <w:rsid w:val="00355945"/>
    <w:rsid w:val="00360B01"/>
    <w:rsid w:val="0038024C"/>
    <w:rsid w:val="003822DB"/>
    <w:rsid w:val="003B07A2"/>
    <w:rsid w:val="003B14D6"/>
    <w:rsid w:val="003B279B"/>
    <w:rsid w:val="003D448C"/>
    <w:rsid w:val="003D7C34"/>
    <w:rsid w:val="003E1ACD"/>
    <w:rsid w:val="003E1CF8"/>
    <w:rsid w:val="003E73D2"/>
    <w:rsid w:val="004122BF"/>
    <w:rsid w:val="00412D8F"/>
    <w:rsid w:val="00426CA9"/>
    <w:rsid w:val="004507F4"/>
    <w:rsid w:val="0047049D"/>
    <w:rsid w:val="00473DC5"/>
    <w:rsid w:val="004A1A10"/>
    <w:rsid w:val="004A1A5C"/>
    <w:rsid w:val="004A4F56"/>
    <w:rsid w:val="004B0637"/>
    <w:rsid w:val="004B7E19"/>
    <w:rsid w:val="00502000"/>
    <w:rsid w:val="00507641"/>
    <w:rsid w:val="00525639"/>
    <w:rsid w:val="0056499E"/>
    <w:rsid w:val="005977A2"/>
    <w:rsid w:val="005C7912"/>
    <w:rsid w:val="005F42BA"/>
    <w:rsid w:val="006102B0"/>
    <w:rsid w:val="006333F7"/>
    <w:rsid w:val="00635E7C"/>
    <w:rsid w:val="006530DF"/>
    <w:rsid w:val="00655EA1"/>
    <w:rsid w:val="00656FC6"/>
    <w:rsid w:val="00660D83"/>
    <w:rsid w:val="006648F5"/>
    <w:rsid w:val="00664B51"/>
    <w:rsid w:val="006A71F9"/>
    <w:rsid w:val="006D63E3"/>
    <w:rsid w:val="006E12BE"/>
    <w:rsid w:val="006F2544"/>
    <w:rsid w:val="006F4BF7"/>
    <w:rsid w:val="006F6AA9"/>
    <w:rsid w:val="00702091"/>
    <w:rsid w:val="00724E1F"/>
    <w:rsid w:val="00732F5C"/>
    <w:rsid w:val="00737EE3"/>
    <w:rsid w:val="00740390"/>
    <w:rsid w:val="007633F7"/>
    <w:rsid w:val="00771AD7"/>
    <w:rsid w:val="00794185"/>
    <w:rsid w:val="007B279C"/>
    <w:rsid w:val="007D2F86"/>
    <w:rsid w:val="007D53E7"/>
    <w:rsid w:val="007E4BFE"/>
    <w:rsid w:val="008056D4"/>
    <w:rsid w:val="00827DFF"/>
    <w:rsid w:val="008332D0"/>
    <w:rsid w:val="00850729"/>
    <w:rsid w:val="00865266"/>
    <w:rsid w:val="00882EB3"/>
    <w:rsid w:val="00887F91"/>
    <w:rsid w:val="008915C7"/>
    <w:rsid w:val="008A636B"/>
    <w:rsid w:val="008A7F75"/>
    <w:rsid w:val="008B5294"/>
    <w:rsid w:val="008D68B8"/>
    <w:rsid w:val="008F6447"/>
    <w:rsid w:val="00900C14"/>
    <w:rsid w:val="00924481"/>
    <w:rsid w:val="00943C97"/>
    <w:rsid w:val="00960917"/>
    <w:rsid w:val="00980382"/>
    <w:rsid w:val="009B5C86"/>
    <w:rsid w:val="009C0F7D"/>
    <w:rsid w:val="009D66E1"/>
    <w:rsid w:val="00A03CB6"/>
    <w:rsid w:val="00A1439F"/>
    <w:rsid w:val="00A21134"/>
    <w:rsid w:val="00A32396"/>
    <w:rsid w:val="00A33D48"/>
    <w:rsid w:val="00A36E83"/>
    <w:rsid w:val="00A532FD"/>
    <w:rsid w:val="00A87925"/>
    <w:rsid w:val="00A91953"/>
    <w:rsid w:val="00A96E4E"/>
    <w:rsid w:val="00AA4402"/>
    <w:rsid w:val="00AD4B96"/>
    <w:rsid w:val="00AF4393"/>
    <w:rsid w:val="00B02E4E"/>
    <w:rsid w:val="00B219B1"/>
    <w:rsid w:val="00B27601"/>
    <w:rsid w:val="00B31A72"/>
    <w:rsid w:val="00B335B8"/>
    <w:rsid w:val="00B53D7F"/>
    <w:rsid w:val="00B74C1B"/>
    <w:rsid w:val="00BA0F7A"/>
    <w:rsid w:val="00BA593C"/>
    <w:rsid w:val="00BB1CF0"/>
    <w:rsid w:val="00BB6292"/>
    <w:rsid w:val="00BB7F8C"/>
    <w:rsid w:val="00BD33FA"/>
    <w:rsid w:val="00BD55D7"/>
    <w:rsid w:val="00BE2A94"/>
    <w:rsid w:val="00BE3A70"/>
    <w:rsid w:val="00BF0870"/>
    <w:rsid w:val="00BF1F17"/>
    <w:rsid w:val="00C05555"/>
    <w:rsid w:val="00C05A9A"/>
    <w:rsid w:val="00C166CB"/>
    <w:rsid w:val="00C36008"/>
    <w:rsid w:val="00C509BF"/>
    <w:rsid w:val="00C607B8"/>
    <w:rsid w:val="00C82721"/>
    <w:rsid w:val="00C942F6"/>
    <w:rsid w:val="00CA02D7"/>
    <w:rsid w:val="00CC7FCB"/>
    <w:rsid w:val="00CD7E35"/>
    <w:rsid w:val="00D04F17"/>
    <w:rsid w:val="00D07155"/>
    <w:rsid w:val="00D342C2"/>
    <w:rsid w:val="00D75233"/>
    <w:rsid w:val="00D75276"/>
    <w:rsid w:val="00D94445"/>
    <w:rsid w:val="00DA0F23"/>
    <w:rsid w:val="00DA7D6C"/>
    <w:rsid w:val="00DB1710"/>
    <w:rsid w:val="00DB6AC3"/>
    <w:rsid w:val="00DC3C0D"/>
    <w:rsid w:val="00DC740D"/>
    <w:rsid w:val="00DE06C1"/>
    <w:rsid w:val="00E0442E"/>
    <w:rsid w:val="00E14166"/>
    <w:rsid w:val="00E1610A"/>
    <w:rsid w:val="00E221CF"/>
    <w:rsid w:val="00E36442"/>
    <w:rsid w:val="00E40E20"/>
    <w:rsid w:val="00E519AC"/>
    <w:rsid w:val="00E847CC"/>
    <w:rsid w:val="00E961D3"/>
    <w:rsid w:val="00EA2FFD"/>
    <w:rsid w:val="00EB1AA8"/>
    <w:rsid w:val="00EB2D62"/>
    <w:rsid w:val="00EB460D"/>
    <w:rsid w:val="00ED7E86"/>
    <w:rsid w:val="00EE77A7"/>
    <w:rsid w:val="00EF27EA"/>
    <w:rsid w:val="00F0178E"/>
    <w:rsid w:val="00F243BC"/>
    <w:rsid w:val="00F54AD9"/>
    <w:rsid w:val="00F54C05"/>
    <w:rsid w:val="00F62B45"/>
    <w:rsid w:val="00F63C92"/>
    <w:rsid w:val="00FA1B59"/>
    <w:rsid w:val="00FA407D"/>
    <w:rsid w:val="00FA462F"/>
    <w:rsid w:val="00FA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E5F5B94"/>
  <w15:docId w15:val="{8E6B93AC-3CFC-4077-BFCE-7CA13025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_x0020_metadata xmlns="e6e80880-be38-4dd8-99da-434f2d03d560" xsi:nil="true"/>
    <Tool xmlns="E6E80880-BE38-4DD8-99DA-434F2D03D560">Visit Checklist</Tool>
    <Status xmlns="e6e80880-be38-4dd8-99da-434f2d03d560">Final</Status>
    <For_x0020_Review xmlns="E6E80880-BE38-4DD8-99DA-434F2D03D560">Yes</For_x0020_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164BEA822740AA9F6B3827FABFEE" ma:contentTypeVersion="4" ma:contentTypeDescription="Create a new document." ma:contentTypeScope="" ma:versionID="9a019153e07b11eaec8d81642270f7be">
  <xsd:schema xmlns:xsd="http://www.w3.org/2001/XMLSchema" xmlns:xs="http://www.w3.org/2001/XMLSchema" xmlns:p="http://schemas.microsoft.com/office/2006/metadata/properties" xmlns:ns2="E6E80880-BE38-4DD8-99DA-434F2D03D560" xmlns:ns3="0cdb9d7b-3bdb-4b1c-be50-7737cb6ee7a2" xmlns:ns4="e6e80880-be38-4dd8-99da-434f2d03d560" targetNamespace="http://schemas.microsoft.com/office/2006/metadata/properties" ma:root="true" ma:fieldsID="56ba7a227279678e2edd991661eb3246" ns2:_="" ns3:_="" ns4:_="">
    <xsd:import namespace="E6E80880-BE38-4DD8-99DA-434F2D03D560"/>
    <xsd:import namespace="0cdb9d7b-3bdb-4b1c-be50-7737cb6ee7a2"/>
    <xsd:import namespace="e6e80880-be38-4dd8-99da-434f2d03d560"/>
    <xsd:element name="properties">
      <xsd:complexType>
        <xsd:sequence>
          <xsd:element name="documentManagement">
            <xsd:complexType>
              <xsd:all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  <xsd:element ref="ns4:Status" minOccurs="0"/>
                <xsd:element ref="ns4:new_x0020_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For_x0020_Review" ma:index="8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9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 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Status" ma:index="12" nillable="true" ma:displayName="Status" ma:format="Dropdown" ma:internalName="Status">
      <xsd:simpleType>
        <xsd:restriction base="dms:Choice">
          <xsd:enumeration value="Archive"/>
          <xsd:enumeration value="Draft"/>
          <xsd:enumeration value="Final"/>
        </xsd:restriction>
      </xsd:simpleType>
    </xsd:element>
    <xsd:element name="new_x0020_metadata" ma:index="13" nillable="true" ma:displayName="new metadata" ma:internalName="new_x0020_metada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CE3E-CE7A-4B62-8421-8C869E5F73AB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6E80880-BE38-4DD8-99DA-434F2D03D560"/>
    <ds:schemaRef ds:uri="http://schemas.microsoft.com/office/2006/metadata/properties"/>
    <ds:schemaRef ds:uri="e6e80880-be38-4dd8-99da-434f2d03d560"/>
    <ds:schemaRef ds:uri="0cdb9d7b-3bdb-4b1c-be50-7737cb6ee7a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E59294B-A6D5-40CA-A211-0BB18B7AD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C88B4-B2C7-4979-8CCD-C185A2A8E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0880-BE38-4DD8-99DA-434F2D03D560"/>
    <ds:schemaRef ds:uri="0cdb9d7b-3bdb-4b1c-be50-7737cb6ee7a2"/>
    <ds:schemaRef ds:uri="e6e80880-be38-4dd8-99da-434f2d03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3F143-2B86-4A8E-BB94-812A71F879C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F92960C-3CC2-4106-8BC5-CA814FCE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 The “Required at visits” column indicates when the item is required during follow-up per-protocol</vt:lpstr>
    </vt:vector>
  </TitlesOfParts>
  <Company>FHI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Mayo (US - NC)</dc:creator>
  <cp:lastModifiedBy>Ashley Mayo</cp:lastModifiedBy>
  <cp:revision>20</cp:revision>
  <cp:lastPrinted>2012-07-18T11:54:00Z</cp:lastPrinted>
  <dcterms:created xsi:type="dcterms:W3CDTF">2016-05-10T15:04:00Z</dcterms:created>
  <dcterms:modified xsi:type="dcterms:W3CDTF">2016-06-27T22:59:00Z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0x010100A23D164BEA822740AA9F6B3827FABFEE</vt:lpwstr>
  </property>
</Properties>
</file>